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7F8FB" w14:textId="1AAB1710" w:rsidR="006B5AA4" w:rsidRDefault="00A6498A" w:rsidP="00EA45B5">
      <w:pPr>
        <w:pStyle w:val="Heading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0" wp14:anchorId="2DCBDA5E" wp14:editId="7FA17DFE">
                <wp:simplePos x="0" y="0"/>
                <wp:positionH relativeFrom="column">
                  <wp:posOffset>1836420</wp:posOffset>
                </wp:positionH>
                <wp:positionV relativeFrom="page">
                  <wp:posOffset>276225</wp:posOffset>
                </wp:positionV>
                <wp:extent cx="4212590" cy="140462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25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5B26C" w14:textId="47C8AA14" w:rsidR="00A6498A" w:rsidRPr="00A6498A" w:rsidRDefault="000C6612" w:rsidP="00A6498A">
                            <w:pPr>
                              <w:pStyle w:val="Header1"/>
                            </w:pPr>
                            <w:r>
                              <w:t xml:space="preserve">All </w:t>
                            </w:r>
                            <w:r w:rsidR="00B02451">
                              <w:t>Employment Network Payments</w:t>
                            </w:r>
                            <w:r>
                              <w:t xml:space="preserve"> Call</w:t>
                            </w:r>
                          </w:p>
                          <w:p w14:paraId="0C24EEAA" w14:textId="023DDF45" w:rsidR="00A6498A" w:rsidRPr="00A6498A" w:rsidRDefault="0043081A" w:rsidP="00A6498A">
                            <w:pPr>
                              <w:pStyle w:val="Header1"/>
                              <w:spacing w:before="0"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May 24</w:t>
                            </w:r>
                            <w:r w:rsidR="000C6612">
                              <w:rPr>
                                <w:sz w:val="28"/>
                                <w:szCs w:val="28"/>
                              </w:rPr>
                              <w:t>,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CBDA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6pt;margin-top:21.75pt;width:331.7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" o:allowoverlap="f" filled="f" stroked="f">
                <v:textbox style="mso-fit-shape-to-text:t" inset="0,0,0,0">
                  <w:txbxContent>
                    <w:p w14:paraId="7275B26C" w14:textId="47C8AA14" w:rsidR="00A6498A" w:rsidRPr="00A6498A" w:rsidRDefault="000C6612" w:rsidP="00A6498A">
                      <w:pPr>
                        <w:pStyle w:val="Header1"/>
                      </w:pPr>
                      <w:r>
                        <w:t xml:space="preserve">All </w:t>
                      </w:r>
                      <w:r w:rsidR="00B02451">
                        <w:t>Employment Network Payments</w:t>
                      </w:r>
                      <w:r>
                        <w:t xml:space="preserve"> Call</w:t>
                      </w:r>
                    </w:p>
                    <w:p w14:paraId="0C24EEAA" w14:textId="023DDF45" w:rsidR="00A6498A" w:rsidRPr="00A6498A" w:rsidRDefault="0043081A" w:rsidP="00A6498A">
                      <w:pPr>
                        <w:pStyle w:val="Header1"/>
                        <w:spacing w:before="0"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May 24</w:t>
                      </w:r>
                      <w:r w:rsidR="000C6612">
                        <w:rPr>
                          <w:sz w:val="28"/>
                          <w:szCs w:val="28"/>
                        </w:rPr>
                        <w:t>, 2016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5AA4">
        <w:t>E-Pay Status</w:t>
      </w:r>
      <w:r w:rsidR="0043081A">
        <w:t xml:space="preserve"> Update</w:t>
      </w:r>
    </w:p>
    <w:p w14:paraId="6471DA86" w14:textId="51F8595D" w:rsidR="006B5AA4" w:rsidRPr="00066CEC" w:rsidRDefault="0043081A" w:rsidP="006B5AA4">
      <w:pPr>
        <w:pStyle w:val="ListParagraph"/>
        <w:numPr>
          <w:ilvl w:val="3"/>
          <w:numId w:val="21"/>
        </w:numPr>
        <w:shd w:val="clear" w:color="auto" w:fill="FFFFFF"/>
        <w:ind w:left="360" w:firstLine="0"/>
        <w:rPr>
          <w:rFonts w:eastAsia="Times New Roman" w:cs="Arial"/>
          <w:bCs/>
          <w:color w:val="212121"/>
          <w:szCs w:val="21"/>
        </w:rPr>
      </w:pPr>
      <w:r>
        <w:rPr>
          <w:rFonts w:eastAsia="Times New Roman" w:cs="Arial"/>
          <w:bCs/>
          <w:color w:val="212121"/>
          <w:szCs w:val="21"/>
        </w:rPr>
        <w:t>Current E-PAY processing began on April 25, 2016</w:t>
      </w:r>
    </w:p>
    <w:p w14:paraId="6C764C54" w14:textId="77777777" w:rsidR="006B5AA4" w:rsidRPr="00066CEC" w:rsidRDefault="006B5AA4" w:rsidP="006B5AA4">
      <w:pPr>
        <w:pStyle w:val="ListParagraph"/>
        <w:numPr>
          <w:ilvl w:val="3"/>
          <w:numId w:val="21"/>
        </w:numPr>
        <w:shd w:val="clear" w:color="auto" w:fill="FFFFFF"/>
        <w:ind w:left="360" w:firstLine="0"/>
        <w:rPr>
          <w:rFonts w:eastAsia="Times New Roman" w:cs="Arial"/>
          <w:bCs/>
          <w:color w:val="212121"/>
          <w:szCs w:val="21"/>
        </w:rPr>
      </w:pPr>
      <w:r w:rsidRPr="00066CEC">
        <w:rPr>
          <w:rFonts w:eastAsia="Times New Roman" w:cs="Arial"/>
          <w:bCs/>
          <w:color w:val="212121"/>
          <w:szCs w:val="21"/>
        </w:rPr>
        <w:t>Claims are processed by Social Security Number (SSN) instead of DUNS</w:t>
      </w:r>
    </w:p>
    <w:p w14:paraId="70C724D5" w14:textId="10ECE4B8" w:rsidR="006B5AA4" w:rsidRPr="00066CEC" w:rsidRDefault="006B5AA4" w:rsidP="006B5AA4">
      <w:pPr>
        <w:pStyle w:val="ListParagraph"/>
        <w:numPr>
          <w:ilvl w:val="3"/>
          <w:numId w:val="21"/>
        </w:numPr>
        <w:shd w:val="clear" w:color="auto" w:fill="FFFFFF"/>
        <w:ind w:left="360" w:firstLine="0"/>
        <w:rPr>
          <w:rFonts w:eastAsia="Times New Roman" w:cs="Arial"/>
          <w:bCs/>
          <w:color w:val="212121"/>
          <w:szCs w:val="21"/>
        </w:rPr>
      </w:pPr>
      <w:r w:rsidRPr="00066CEC">
        <w:rPr>
          <w:rFonts w:eastAsia="Times New Roman" w:cs="Arial"/>
          <w:bCs/>
          <w:color w:val="212121"/>
          <w:szCs w:val="21"/>
        </w:rPr>
        <w:t xml:space="preserve">The </w:t>
      </w:r>
      <w:r w:rsidR="0043081A">
        <w:rPr>
          <w:rFonts w:eastAsia="Times New Roman" w:cs="Arial"/>
          <w:bCs/>
          <w:color w:val="212121"/>
          <w:szCs w:val="21"/>
        </w:rPr>
        <w:t>current</w:t>
      </w:r>
      <w:r w:rsidRPr="00066CEC">
        <w:rPr>
          <w:rFonts w:eastAsia="Times New Roman" w:cs="Arial"/>
          <w:bCs/>
          <w:color w:val="212121"/>
          <w:szCs w:val="21"/>
        </w:rPr>
        <w:t xml:space="preserve"> E-PAY file contains over 14,000 SSNs. </w:t>
      </w:r>
    </w:p>
    <w:p w14:paraId="5791C097" w14:textId="369ED1E6" w:rsidR="006B5AA4" w:rsidRDefault="006B5AA4" w:rsidP="006B5AA4">
      <w:pPr>
        <w:pStyle w:val="ListParagraph"/>
        <w:numPr>
          <w:ilvl w:val="1"/>
          <w:numId w:val="21"/>
        </w:numPr>
        <w:shd w:val="clear" w:color="auto" w:fill="FFFFFF"/>
        <w:rPr>
          <w:rFonts w:eastAsia="Times New Roman" w:cs="Arial"/>
          <w:bCs/>
          <w:color w:val="212121"/>
          <w:szCs w:val="21"/>
        </w:rPr>
      </w:pPr>
      <w:r w:rsidRPr="00066CEC">
        <w:rPr>
          <w:rFonts w:eastAsia="Times New Roman" w:cs="Arial"/>
          <w:bCs/>
          <w:color w:val="212121"/>
          <w:szCs w:val="21"/>
        </w:rPr>
        <w:t xml:space="preserve">As of Monday, </w:t>
      </w:r>
      <w:r w:rsidR="00BB0D64">
        <w:rPr>
          <w:rFonts w:eastAsia="Times New Roman" w:cs="Arial"/>
          <w:bCs/>
          <w:color w:val="212121"/>
          <w:szCs w:val="21"/>
        </w:rPr>
        <w:t>May 23</w:t>
      </w:r>
      <w:r w:rsidRPr="00066CEC">
        <w:rPr>
          <w:rFonts w:eastAsia="Times New Roman" w:cs="Arial"/>
          <w:bCs/>
          <w:color w:val="212121"/>
          <w:szCs w:val="21"/>
        </w:rPr>
        <w:t xml:space="preserve">, </w:t>
      </w:r>
      <w:r w:rsidR="00BB0D64">
        <w:rPr>
          <w:rFonts w:eastAsia="Times New Roman" w:cs="Arial"/>
          <w:bCs/>
          <w:color w:val="212121"/>
          <w:szCs w:val="21"/>
        </w:rPr>
        <w:t>11,690 claims had been processed</w:t>
      </w:r>
      <w:r w:rsidRPr="00066CEC">
        <w:rPr>
          <w:rFonts w:eastAsia="Times New Roman" w:cs="Arial"/>
          <w:bCs/>
          <w:color w:val="212121"/>
          <w:szCs w:val="21"/>
        </w:rPr>
        <w:t xml:space="preserve">. </w:t>
      </w:r>
    </w:p>
    <w:p w14:paraId="116BB039" w14:textId="273C4D32" w:rsidR="00BB0D64" w:rsidRPr="00066CEC" w:rsidRDefault="00BB0D64" w:rsidP="00BB0D64">
      <w:pPr>
        <w:pStyle w:val="ListParagraph"/>
        <w:numPr>
          <w:ilvl w:val="0"/>
          <w:numId w:val="21"/>
        </w:numPr>
        <w:shd w:val="clear" w:color="auto" w:fill="FFFFFF"/>
        <w:rPr>
          <w:rFonts w:eastAsia="Times New Roman" w:cs="Arial"/>
          <w:bCs/>
          <w:color w:val="212121"/>
          <w:szCs w:val="21"/>
        </w:rPr>
      </w:pPr>
      <w:r>
        <w:rPr>
          <w:rFonts w:eastAsia="Times New Roman" w:cs="Arial"/>
          <w:bCs/>
          <w:color w:val="212121"/>
          <w:szCs w:val="21"/>
        </w:rPr>
        <w:t>When submitting information to the Employment Network Service Branch (ENSB) about payments, annotate your E</w:t>
      </w:r>
      <w:r w:rsidR="00DD5CF3">
        <w:rPr>
          <w:rFonts w:eastAsia="Times New Roman" w:cs="Arial"/>
          <w:bCs/>
          <w:color w:val="212121"/>
          <w:szCs w:val="21"/>
        </w:rPr>
        <w:t xml:space="preserve">mployment </w:t>
      </w:r>
      <w:r>
        <w:rPr>
          <w:rFonts w:eastAsia="Times New Roman" w:cs="Arial"/>
          <w:bCs/>
          <w:color w:val="212121"/>
          <w:szCs w:val="21"/>
        </w:rPr>
        <w:t>N</w:t>
      </w:r>
      <w:r w:rsidR="00DD5CF3">
        <w:rPr>
          <w:rFonts w:eastAsia="Times New Roman" w:cs="Arial"/>
          <w:bCs/>
          <w:color w:val="212121"/>
          <w:szCs w:val="21"/>
        </w:rPr>
        <w:t>etwork (EN)</w:t>
      </w:r>
      <w:r>
        <w:rPr>
          <w:rFonts w:eastAsia="Times New Roman" w:cs="Arial"/>
          <w:bCs/>
          <w:color w:val="212121"/>
          <w:szCs w:val="21"/>
        </w:rPr>
        <w:t xml:space="preserve"> Contact Information for Payments. To add a payment contact, send a request to </w:t>
      </w:r>
      <w:hyperlink r:id="rId8" w:history="1">
        <w:r w:rsidRPr="007621DC">
          <w:rPr>
            <w:rStyle w:val="Hyperlink"/>
            <w:rFonts w:eastAsia="Times New Roman" w:cs="Arial"/>
            <w:bCs/>
            <w:szCs w:val="21"/>
          </w:rPr>
          <w:t>enservice@ssa.gov</w:t>
        </w:r>
      </w:hyperlink>
      <w:r>
        <w:rPr>
          <w:rFonts w:eastAsia="Times New Roman" w:cs="Arial"/>
          <w:bCs/>
          <w:color w:val="212121"/>
          <w:szCs w:val="21"/>
        </w:rPr>
        <w:t xml:space="preserve"> and specify the name of the person and indicate the title you want them to have. All payments contacts must have completed suitability.</w:t>
      </w:r>
    </w:p>
    <w:p w14:paraId="2E9CA867" w14:textId="051143F3" w:rsidR="00EA45B5" w:rsidRDefault="00BB0D64" w:rsidP="00EA45B5">
      <w:pPr>
        <w:pStyle w:val="Heading2"/>
      </w:pPr>
      <w:r>
        <w:t>Payment Method Comparison</w:t>
      </w:r>
    </w:p>
    <w:p w14:paraId="227755E7" w14:textId="77777777" w:rsidR="00BB0D64" w:rsidRDefault="00BB0D64" w:rsidP="00EA45B5">
      <w:pPr>
        <w:pStyle w:val="ListParagraph"/>
        <w:numPr>
          <w:ilvl w:val="0"/>
          <w:numId w:val="25"/>
        </w:numPr>
        <w:rPr>
          <w:szCs w:val="21"/>
        </w:rPr>
      </w:pPr>
      <w:r>
        <w:rPr>
          <w:szCs w:val="21"/>
        </w:rPr>
        <w:t>Outcome-Only Payment Method</w:t>
      </w:r>
    </w:p>
    <w:p w14:paraId="52AF162E" w14:textId="58AABDEC" w:rsidR="00BB0D64" w:rsidRPr="00BB0D64" w:rsidRDefault="00BB0D64" w:rsidP="00BB0D64">
      <w:pPr>
        <w:pStyle w:val="ListParagraph"/>
        <w:numPr>
          <w:ilvl w:val="1"/>
          <w:numId w:val="25"/>
        </w:numPr>
        <w:rPr>
          <w:szCs w:val="21"/>
        </w:rPr>
      </w:pPr>
      <w:r w:rsidRPr="00066CEC">
        <w:rPr>
          <w:szCs w:val="21"/>
        </w:rPr>
        <w:t xml:space="preserve"> </w:t>
      </w:r>
      <w:r w:rsidRPr="00BB0D64">
        <w:rPr>
          <w:szCs w:val="21"/>
        </w:rPr>
        <w:t>No payments until</w:t>
      </w:r>
      <w:r>
        <w:rPr>
          <w:szCs w:val="21"/>
        </w:rPr>
        <w:t xml:space="preserve"> b</w:t>
      </w:r>
      <w:r w:rsidRPr="00BB0D64">
        <w:rPr>
          <w:szCs w:val="21"/>
        </w:rPr>
        <w:t>eneficiary reaches gross SGA ($1,130/month non-blind; $1,820/month blind or visually impaired for 2016)</w:t>
      </w:r>
    </w:p>
    <w:p w14:paraId="21F2C6AB" w14:textId="77777777" w:rsidR="00BB0D64" w:rsidRDefault="00BB0D64" w:rsidP="00BB0D64">
      <w:pPr>
        <w:pStyle w:val="ListParagraph"/>
        <w:numPr>
          <w:ilvl w:val="1"/>
          <w:numId w:val="25"/>
        </w:numPr>
        <w:rPr>
          <w:szCs w:val="21"/>
        </w:rPr>
      </w:pPr>
      <w:r w:rsidRPr="00BB0D64">
        <w:rPr>
          <w:szCs w:val="21"/>
        </w:rPr>
        <w:t>Beneficiary stops receiving Federal cash benefits due to work earnings</w:t>
      </w:r>
    </w:p>
    <w:p w14:paraId="2944E7D8" w14:textId="537F0C87" w:rsidR="00BB0D64" w:rsidRDefault="00BB0D64" w:rsidP="00BB0D64">
      <w:pPr>
        <w:pStyle w:val="ListParagraph"/>
        <w:numPr>
          <w:ilvl w:val="0"/>
          <w:numId w:val="25"/>
        </w:numPr>
        <w:rPr>
          <w:szCs w:val="21"/>
        </w:rPr>
      </w:pPr>
      <w:r>
        <w:rPr>
          <w:szCs w:val="21"/>
        </w:rPr>
        <w:t>Milestone-Outcome Payment Method</w:t>
      </w:r>
    </w:p>
    <w:p w14:paraId="4C1086B0" w14:textId="2EBC6681" w:rsidR="00BB0D64" w:rsidRDefault="00BB0D64" w:rsidP="00BB0D64">
      <w:pPr>
        <w:pStyle w:val="ListParagraph"/>
        <w:numPr>
          <w:ilvl w:val="1"/>
          <w:numId w:val="25"/>
        </w:numPr>
        <w:rPr>
          <w:szCs w:val="21"/>
        </w:rPr>
      </w:pPr>
      <w:r>
        <w:rPr>
          <w:szCs w:val="21"/>
        </w:rPr>
        <w:t>Phase 1 Milestones</w:t>
      </w:r>
    </w:p>
    <w:p w14:paraId="5FA90458" w14:textId="6C44180B" w:rsidR="00BB0D64" w:rsidRPr="00BB0D64" w:rsidRDefault="00BB0D64" w:rsidP="00BB0D64">
      <w:pPr>
        <w:pStyle w:val="ListParagraph"/>
        <w:numPr>
          <w:ilvl w:val="2"/>
          <w:numId w:val="25"/>
        </w:numPr>
        <w:rPr>
          <w:szCs w:val="21"/>
        </w:rPr>
      </w:pPr>
      <w:r>
        <w:rPr>
          <w:szCs w:val="21"/>
        </w:rPr>
        <w:t>Phase 1 Milestone 1</w:t>
      </w:r>
      <w:r w:rsidRPr="00BB0D64">
        <w:rPr>
          <w:rFonts w:eastAsia="MS PGothic" w:cs="Arial"/>
          <w:b/>
          <w:color w:val="000000" w:themeColor="text1"/>
          <w:kern w:val="24"/>
          <w:sz w:val="28"/>
          <w:szCs w:val="28"/>
        </w:rPr>
        <w:t xml:space="preserve"> </w:t>
      </w:r>
      <w:r w:rsidRPr="00BB0D64">
        <w:rPr>
          <w:szCs w:val="21"/>
        </w:rPr>
        <w:t xml:space="preserve">can be paid once the Ticket Holder has earned the Trial Work Level </w:t>
      </w:r>
      <w:r>
        <w:rPr>
          <w:szCs w:val="21"/>
        </w:rPr>
        <w:t xml:space="preserve">(TWL) </w:t>
      </w:r>
      <w:r w:rsidRPr="00BB0D64">
        <w:rPr>
          <w:szCs w:val="21"/>
        </w:rPr>
        <w:t xml:space="preserve">amount for one month. This payment may also be available if the beneficiary did not work the entire month, but was earning enough that it would have equaled </w:t>
      </w:r>
      <w:r>
        <w:rPr>
          <w:szCs w:val="21"/>
        </w:rPr>
        <w:t xml:space="preserve">TWL </w:t>
      </w:r>
      <w:r w:rsidRPr="00BB0D64">
        <w:rPr>
          <w:szCs w:val="21"/>
        </w:rPr>
        <w:t>if that person</w:t>
      </w:r>
      <w:r>
        <w:rPr>
          <w:szCs w:val="21"/>
        </w:rPr>
        <w:t xml:space="preserve"> had worked the entire month. </w:t>
      </w:r>
      <w:r w:rsidRPr="00BB0D64">
        <w:rPr>
          <w:szCs w:val="21"/>
        </w:rPr>
        <w:t>The beneficiary should have earned no l</w:t>
      </w:r>
      <w:r>
        <w:rPr>
          <w:szCs w:val="21"/>
        </w:rPr>
        <w:t>ess than 50% of TWL</w:t>
      </w:r>
      <w:r w:rsidRPr="00BB0D64">
        <w:rPr>
          <w:szCs w:val="21"/>
        </w:rPr>
        <w:t>.</w:t>
      </w:r>
    </w:p>
    <w:p w14:paraId="72187FD4" w14:textId="77777777" w:rsidR="00BB0D64" w:rsidRPr="00BB0D64" w:rsidRDefault="00BB0D64" w:rsidP="00BB0D64">
      <w:pPr>
        <w:pStyle w:val="ListParagraph"/>
        <w:numPr>
          <w:ilvl w:val="2"/>
          <w:numId w:val="25"/>
        </w:numPr>
        <w:rPr>
          <w:szCs w:val="21"/>
        </w:rPr>
      </w:pPr>
      <w:r w:rsidRPr="00BB0D64">
        <w:rPr>
          <w:szCs w:val="21"/>
        </w:rPr>
        <w:t>Phase I Milestone 2 can be paid once the Ticket Holder has earned the Trial Work Level amount for three months within a six-month period.</w:t>
      </w:r>
    </w:p>
    <w:p w14:paraId="09CF5287" w14:textId="721A130B" w:rsidR="00BB0D64" w:rsidRPr="00BB0D64" w:rsidRDefault="00BB0D64" w:rsidP="00004B69">
      <w:pPr>
        <w:pStyle w:val="ListParagraph"/>
        <w:numPr>
          <w:ilvl w:val="2"/>
          <w:numId w:val="25"/>
        </w:numPr>
        <w:rPr>
          <w:szCs w:val="21"/>
        </w:rPr>
      </w:pPr>
      <w:r w:rsidRPr="00BB0D64">
        <w:rPr>
          <w:szCs w:val="21"/>
        </w:rPr>
        <w:t> Phase I Milestone</w:t>
      </w:r>
      <w:r w:rsidRPr="00BB0D64">
        <w:rPr>
          <w:b/>
          <w:szCs w:val="21"/>
        </w:rPr>
        <w:t xml:space="preserve"> </w:t>
      </w:r>
      <w:r w:rsidRPr="00BB0D64">
        <w:rPr>
          <w:szCs w:val="21"/>
        </w:rPr>
        <w:t xml:space="preserve">3 can be paid once the Ticket Holder has earned </w:t>
      </w:r>
      <w:r w:rsidRPr="00BB0D64">
        <w:rPr>
          <w:szCs w:val="21"/>
        </w:rPr>
        <w:lastRenderedPageBreak/>
        <w:t>the Trial Work Level amount for six months within a 12-month period.</w:t>
      </w:r>
    </w:p>
    <w:p w14:paraId="6A914FF4" w14:textId="77777777" w:rsidR="00BB0D64" w:rsidRDefault="00BB0D64" w:rsidP="004C50BA">
      <w:pPr>
        <w:pStyle w:val="ListParagraph"/>
        <w:numPr>
          <w:ilvl w:val="2"/>
          <w:numId w:val="25"/>
        </w:numPr>
        <w:rPr>
          <w:szCs w:val="21"/>
        </w:rPr>
      </w:pPr>
      <w:r w:rsidRPr="00BB0D64">
        <w:rPr>
          <w:szCs w:val="21"/>
        </w:rPr>
        <w:t>Phase I Milestone 4 can be paid once the Ticket Holder has earned the Trial Work Level amount for nine months within an 18-month period.</w:t>
      </w:r>
    </w:p>
    <w:p w14:paraId="38B6ECA5" w14:textId="77777777" w:rsidR="00BB0D64" w:rsidRDefault="00BB0D64" w:rsidP="00BB0D64">
      <w:pPr>
        <w:pStyle w:val="ListParagraph"/>
        <w:numPr>
          <w:ilvl w:val="1"/>
          <w:numId w:val="25"/>
        </w:numPr>
        <w:rPr>
          <w:szCs w:val="21"/>
        </w:rPr>
      </w:pPr>
      <w:r>
        <w:rPr>
          <w:szCs w:val="21"/>
        </w:rPr>
        <w:t>Phase 2 Milestones</w:t>
      </w:r>
    </w:p>
    <w:p w14:paraId="4B8E6E8C" w14:textId="344D7405" w:rsidR="00BB0D64" w:rsidRPr="00BB0D64" w:rsidRDefault="00BB0D64" w:rsidP="00BB0D64">
      <w:pPr>
        <w:pStyle w:val="ListParagraph"/>
        <w:numPr>
          <w:ilvl w:val="2"/>
          <w:numId w:val="25"/>
        </w:numPr>
        <w:rPr>
          <w:szCs w:val="21"/>
        </w:rPr>
      </w:pPr>
      <w:r>
        <w:rPr>
          <w:szCs w:val="21"/>
        </w:rPr>
        <w:t>Paid when the Ticket Holder reaches Substantial Gainful Activity (SGA) but still receives benefits from Social Security.</w:t>
      </w:r>
      <w:r w:rsidRPr="00BB0D64">
        <w:rPr>
          <w:szCs w:val="21"/>
        </w:rPr>
        <w:t xml:space="preserve"> </w:t>
      </w:r>
      <w:r w:rsidRPr="00BB0D64">
        <w:rPr>
          <w:b/>
          <w:bCs/>
          <w:szCs w:val="21"/>
        </w:rPr>
        <w:t> </w:t>
      </w:r>
      <w:r w:rsidRPr="00BB0D64">
        <w:rPr>
          <w:szCs w:val="21"/>
        </w:rPr>
        <w:t xml:space="preserve"> </w:t>
      </w:r>
    </w:p>
    <w:p w14:paraId="626D5A51" w14:textId="73F698B8" w:rsidR="00EA45B5" w:rsidRDefault="00DD5CF3" w:rsidP="00BB0D64">
      <w:pPr>
        <w:pStyle w:val="Heading2"/>
      </w:pPr>
      <w:r>
        <w:t>Updated 18-Month Lookback Tool</w:t>
      </w:r>
    </w:p>
    <w:p w14:paraId="4333135A" w14:textId="2013EA0A" w:rsidR="00BB0D64" w:rsidRPr="00BB0D64" w:rsidRDefault="00DD5CF3" w:rsidP="00DD5CF3">
      <w:pPr>
        <w:tabs>
          <w:tab w:val="left" w:pos="1050"/>
        </w:tabs>
      </w:pPr>
      <w:r>
        <w:tab/>
      </w:r>
    </w:p>
    <w:p w14:paraId="01A43AD6" w14:textId="56C5F47C" w:rsidR="00DD5CF3" w:rsidRDefault="00BB0D64" w:rsidP="00DD5CF3">
      <w:pPr>
        <w:pStyle w:val="ListParagraph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0" w:after="200" w:line="276" w:lineRule="auto"/>
        <w:contextualSpacing/>
      </w:pPr>
      <w:r>
        <w:rPr>
          <w:rFonts w:eastAsia="Times New Roman" w:cs="Arial"/>
          <w:color w:val="212121"/>
          <w:szCs w:val="21"/>
        </w:rPr>
        <w:t xml:space="preserve">18-Month Lookback Tool: </w:t>
      </w:r>
      <w:r w:rsidR="00DD5CF3" w:rsidRPr="00DD5CF3">
        <w:t>The 18 Month Loo</w:t>
      </w:r>
      <w:r w:rsidR="00DD5CF3">
        <w:t xml:space="preserve">k Back tool </w:t>
      </w:r>
      <w:r w:rsidR="00DD5CF3" w:rsidRPr="00DD5CF3">
        <w:t xml:space="preserve">allows ENs or TPM EN Payments staffs to enter a ticket assignment date (far right column) mm/yyyy. The tool then calculates 18 months prior to the ticket assignment date, month/year and loads the tool with these months. Staffs then plug in “X’s” under each month to indicate if earnings ≥ TWL. The spreadsheet will post a ‘Yes’ or ‘No’ for each Phase 1 milestone in the chart below (far left) to indicate whether or not a Phase 1 milestone payment is available. The new </w:t>
      </w:r>
      <w:r w:rsidR="00DD5CF3">
        <w:t>18-Month Lookback T</w:t>
      </w:r>
      <w:r w:rsidR="00DD5CF3" w:rsidRPr="00DD5CF3">
        <w:t xml:space="preserve">ool now has the functionality to enter the DDO and make the calculations. With this new feature the 18 month period between the DDO and TAD is calculated accurately. </w:t>
      </w:r>
    </w:p>
    <w:p w14:paraId="0119D173" w14:textId="448EDFD9" w:rsidR="00DD5CF3" w:rsidRDefault="00DD5CF3" w:rsidP="00DD5CF3">
      <w:pPr>
        <w:pStyle w:val="Heading2"/>
      </w:pPr>
      <w:r>
        <w:t>Employer Prepared Earnings Statement vs Supplemental Earnings Statement</w:t>
      </w:r>
    </w:p>
    <w:p w14:paraId="4BCE4DE3" w14:textId="77777777" w:rsidR="00DD5CF3" w:rsidRDefault="00DD5CF3" w:rsidP="00DD5CF3">
      <w:pPr>
        <w:widowControl/>
        <w:shd w:val="clear" w:color="auto" w:fill="FFFFFF"/>
        <w:autoSpaceDE/>
        <w:autoSpaceDN/>
        <w:adjustRightInd/>
        <w:spacing w:before="0" w:after="200" w:line="276" w:lineRule="auto"/>
        <w:contextualSpacing/>
      </w:pPr>
    </w:p>
    <w:p w14:paraId="56D0E2C4" w14:textId="479A9BD3" w:rsidR="00DD5CF3" w:rsidRPr="00DD5CF3" w:rsidRDefault="00DD5CF3" w:rsidP="00DD5CF3">
      <w:pPr>
        <w:widowControl/>
        <w:shd w:val="clear" w:color="auto" w:fill="FFFFFF"/>
        <w:autoSpaceDE/>
        <w:autoSpaceDN/>
        <w:adjustRightInd/>
        <w:spacing w:before="0" w:after="200" w:line="276" w:lineRule="auto"/>
        <w:contextualSpacing/>
      </w:pPr>
      <w:r w:rsidRPr="00DD5CF3">
        <w:t xml:space="preserve">The Supplemental Earning Statement (SES) and the Employer Prepared Earnings Statement ask for similar information but are used for two different purposes.  </w:t>
      </w:r>
    </w:p>
    <w:p w14:paraId="26984B2D" w14:textId="77777777" w:rsidR="00DD5CF3" w:rsidRPr="00DD5CF3" w:rsidRDefault="00DD5CF3" w:rsidP="00DD5CF3">
      <w:pPr>
        <w:widowControl/>
        <w:shd w:val="clear" w:color="auto" w:fill="FFFFFF"/>
        <w:autoSpaceDE/>
        <w:autoSpaceDN/>
        <w:adjustRightInd/>
        <w:spacing w:before="0" w:after="200" w:line="276" w:lineRule="auto"/>
        <w:contextualSpacing/>
      </w:pPr>
    </w:p>
    <w:p w14:paraId="5A7EAA27" w14:textId="77777777" w:rsidR="00DD5CF3" w:rsidRPr="00DD5CF3" w:rsidRDefault="00DD5CF3" w:rsidP="00DD5CF3">
      <w:pPr>
        <w:pStyle w:val="ListParagraph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0" w:after="200" w:line="276" w:lineRule="auto"/>
        <w:contextualSpacing/>
      </w:pPr>
      <w:r w:rsidRPr="00DD5CF3">
        <w:rPr>
          <w:b/>
          <w:bCs/>
        </w:rPr>
        <w:t>Supplemental Earnings Statement</w:t>
      </w:r>
    </w:p>
    <w:p w14:paraId="7B41E792" w14:textId="77777777" w:rsidR="00DD5CF3" w:rsidRDefault="00DD5CF3" w:rsidP="00DD5CF3">
      <w:pPr>
        <w:pStyle w:val="ListParagraph"/>
        <w:widowControl/>
        <w:numPr>
          <w:ilvl w:val="1"/>
          <w:numId w:val="26"/>
        </w:numPr>
        <w:shd w:val="clear" w:color="auto" w:fill="FFFFFF"/>
        <w:autoSpaceDE/>
        <w:autoSpaceDN/>
        <w:adjustRightInd/>
        <w:spacing w:before="0" w:after="200" w:line="276" w:lineRule="auto"/>
        <w:contextualSpacing/>
      </w:pPr>
      <w:r w:rsidRPr="00DD5CF3">
        <w:t xml:space="preserve">Use the Supplemental Earnings Statement Form when: </w:t>
      </w:r>
    </w:p>
    <w:p w14:paraId="65301155" w14:textId="77777777" w:rsidR="00DD5CF3" w:rsidRDefault="00DD5CF3" w:rsidP="00DD5CF3">
      <w:pPr>
        <w:pStyle w:val="ListParagraph"/>
        <w:widowControl/>
        <w:numPr>
          <w:ilvl w:val="2"/>
          <w:numId w:val="26"/>
        </w:numPr>
        <w:shd w:val="clear" w:color="auto" w:fill="FFFFFF"/>
        <w:autoSpaceDE/>
        <w:autoSpaceDN/>
        <w:adjustRightInd/>
        <w:spacing w:before="0" w:after="200" w:line="276" w:lineRule="auto"/>
        <w:contextualSpacing/>
      </w:pPr>
      <w:r w:rsidRPr="00DD5CF3">
        <w:t xml:space="preserve">Pay stubs </w:t>
      </w:r>
      <w:r>
        <w:t>are missing required information</w:t>
      </w:r>
    </w:p>
    <w:p w14:paraId="1488CA0E" w14:textId="77777777" w:rsidR="00DD5CF3" w:rsidRDefault="00DD5CF3" w:rsidP="00DD5CF3">
      <w:pPr>
        <w:pStyle w:val="ListParagraph"/>
        <w:widowControl/>
        <w:numPr>
          <w:ilvl w:val="2"/>
          <w:numId w:val="26"/>
        </w:numPr>
        <w:shd w:val="clear" w:color="auto" w:fill="FFFFFF"/>
        <w:autoSpaceDE/>
        <w:autoSpaceDN/>
        <w:adjustRightInd/>
        <w:spacing w:before="0" w:after="200" w:line="276" w:lineRule="auto"/>
        <w:contextualSpacing/>
      </w:pPr>
      <w:r w:rsidRPr="00DD5CF3">
        <w:t>Pay stubs are illegible</w:t>
      </w:r>
    </w:p>
    <w:p w14:paraId="73BAC2D6" w14:textId="77777777" w:rsidR="00DD5CF3" w:rsidRDefault="00DD5CF3" w:rsidP="00DD5CF3">
      <w:pPr>
        <w:pStyle w:val="ListParagraph"/>
        <w:widowControl/>
        <w:shd w:val="clear" w:color="auto" w:fill="FFFFFF"/>
        <w:autoSpaceDE/>
        <w:autoSpaceDN/>
        <w:adjustRightInd/>
        <w:spacing w:before="0" w:after="200" w:line="276" w:lineRule="auto"/>
        <w:ind w:left="2160"/>
        <w:contextualSpacing/>
      </w:pPr>
    </w:p>
    <w:p w14:paraId="5E81F9B3" w14:textId="77777777" w:rsidR="00DD5CF3" w:rsidRPr="00DD5CF3" w:rsidRDefault="00DD5CF3" w:rsidP="00DD5CF3">
      <w:pPr>
        <w:pStyle w:val="ListParagraph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0" w:after="200" w:line="276" w:lineRule="auto"/>
        <w:contextualSpacing/>
      </w:pPr>
      <w:r w:rsidRPr="00DD5CF3">
        <w:rPr>
          <w:b/>
          <w:bCs/>
        </w:rPr>
        <w:t>Employer Prepared Earnings Statement</w:t>
      </w:r>
    </w:p>
    <w:p w14:paraId="599EC2AF" w14:textId="77777777" w:rsidR="00DD5CF3" w:rsidRDefault="00DD5CF3" w:rsidP="00DD5CF3">
      <w:pPr>
        <w:pStyle w:val="ListParagraph"/>
        <w:widowControl/>
        <w:numPr>
          <w:ilvl w:val="1"/>
          <w:numId w:val="26"/>
        </w:numPr>
        <w:shd w:val="clear" w:color="auto" w:fill="FFFFFF"/>
        <w:autoSpaceDE/>
        <w:autoSpaceDN/>
        <w:adjustRightInd/>
        <w:spacing w:before="0" w:after="200" w:line="276" w:lineRule="auto"/>
        <w:contextualSpacing/>
      </w:pPr>
      <w:r w:rsidRPr="00DD5CF3">
        <w:t>Use the Employer Prep</w:t>
      </w:r>
      <w:r>
        <w:t xml:space="preserve">ared Earnings Statement form if: </w:t>
      </w:r>
    </w:p>
    <w:p w14:paraId="6C1106DB" w14:textId="3A9FA385" w:rsidR="00DD5CF3" w:rsidRPr="00DD5CF3" w:rsidRDefault="00DD5CF3" w:rsidP="00DD5CF3">
      <w:pPr>
        <w:pStyle w:val="ListParagraph"/>
        <w:widowControl/>
        <w:numPr>
          <w:ilvl w:val="2"/>
          <w:numId w:val="26"/>
        </w:numPr>
        <w:shd w:val="clear" w:color="auto" w:fill="FFFFFF"/>
        <w:autoSpaceDE/>
        <w:autoSpaceDN/>
        <w:adjustRightInd/>
        <w:spacing w:before="0" w:after="200" w:line="276" w:lineRule="auto"/>
        <w:contextualSpacing/>
      </w:pPr>
      <w:r w:rsidRPr="00DD5CF3">
        <w:lastRenderedPageBreak/>
        <w:t>You are not able to obtain any earnings documents from the beneficiary and earnings information is not available via The Work Number.</w:t>
      </w:r>
    </w:p>
    <w:p w14:paraId="6440EEE6" w14:textId="77777777" w:rsidR="00DD5CF3" w:rsidRDefault="00DD5CF3" w:rsidP="00DD5CF3">
      <w:pPr>
        <w:widowControl/>
        <w:numPr>
          <w:ilvl w:val="2"/>
          <w:numId w:val="29"/>
        </w:numPr>
        <w:shd w:val="clear" w:color="auto" w:fill="FFFFFF"/>
        <w:autoSpaceDE/>
        <w:autoSpaceDN/>
        <w:adjustRightInd/>
        <w:spacing w:before="0" w:after="200" w:line="276" w:lineRule="auto"/>
        <w:contextualSpacing/>
      </w:pPr>
      <w:r w:rsidRPr="00DD5CF3">
        <w:t>You’ve received earnings documentation that are not legible because they have been faxed or copied repeatedly and the beneficiary no longer has the original copy.</w:t>
      </w:r>
    </w:p>
    <w:p w14:paraId="1950E708" w14:textId="77777777" w:rsidR="00DD5CF3" w:rsidRPr="00DD5CF3" w:rsidRDefault="00DD5CF3" w:rsidP="00DD5CF3">
      <w:pPr>
        <w:widowControl/>
        <w:shd w:val="clear" w:color="auto" w:fill="FFFFFF"/>
        <w:autoSpaceDE/>
        <w:autoSpaceDN/>
        <w:adjustRightInd/>
        <w:spacing w:before="0" w:after="200" w:line="276" w:lineRule="auto"/>
        <w:ind w:left="2160"/>
        <w:contextualSpacing/>
      </w:pPr>
    </w:p>
    <w:p w14:paraId="2A19EAC3" w14:textId="77777777" w:rsidR="00DD5CF3" w:rsidRDefault="00DD5CF3" w:rsidP="00DD5CF3">
      <w:pPr>
        <w:widowControl/>
        <w:numPr>
          <w:ilvl w:val="2"/>
          <w:numId w:val="29"/>
        </w:numPr>
        <w:shd w:val="clear" w:color="auto" w:fill="FFFFFF"/>
        <w:autoSpaceDE/>
        <w:autoSpaceDN/>
        <w:adjustRightInd/>
        <w:spacing w:before="0" w:after="200" w:line="276" w:lineRule="auto"/>
        <w:contextualSpacing/>
      </w:pPr>
      <w:r w:rsidRPr="00DD5CF3">
        <w:t>You have the employer contact information, you can complete and submit this signed form as a source of primary evidence.</w:t>
      </w:r>
    </w:p>
    <w:p w14:paraId="4FBBDCD8" w14:textId="77777777" w:rsidR="00DD5CF3" w:rsidRPr="00DD5CF3" w:rsidRDefault="00DD5CF3" w:rsidP="00DD5CF3">
      <w:pPr>
        <w:widowControl/>
        <w:shd w:val="clear" w:color="auto" w:fill="FFFFFF"/>
        <w:autoSpaceDE/>
        <w:autoSpaceDN/>
        <w:adjustRightInd/>
        <w:spacing w:before="0" w:after="200" w:line="276" w:lineRule="auto"/>
        <w:contextualSpacing/>
      </w:pPr>
    </w:p>
    <w:p w14:paraId="654EBC80" w14:textId="76C00013" w:rsidR="00066CEC" w:rsidRPr="00DD5CF3" w:rsidRDefault="00DD5CF3" w:rsidP="00066CEC">
      <w:pPr>
        <w:widowControl/>
        <w:numPr>
          <w:ilvl w:val="2"/>
          <w:numId w:val="29"/>
        </w:numPr>
        <w:shd w:val="clear" w:color="auto" w:fill="FFFFFF"/>
        <w:autoSpaceDE/>
        <w:autoSpaceDN/>
        <w:adjustRightInd/>
        <w:spacing w:before="0" w:after="200" w:line="276" w:lineRule="auto"/>
        <w:contextualSpacing/>
      </w:pPr>
      <w:r w:rsidRPr="00DD5CF3">
        <w:t>It provides affirmation from the employer that all withholdings were made.</w:t>
      </w:r>
      <w:bookmarkStart w:id="0" w:name="_GoBack"/>
      <w:bookmarkEnd w:id="0"/>
      <w:r w:rsidR="00066CEC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EE95FC" wp14:editId="529E7649">
                <wp:simplePos x="0" y="0"/>
                <wp:positionH relativeFrom="margin">
                  <wp:posOffset>0</wp:posOffset>
                </wp:positionH>
                <wp:positionV relativeFrom="paragraph">
                  <wp:posOffset>797560</wp:posOffset>
                </wp:positionV>
                <wp:extent cx="5924550" cy="10953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09537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E9FBB" w14:textId="77777777" w:rsidR="000C6612" w:rsidRPr="00B41104" w:rsidRDefault="000C6612" w:rsidP="000C6612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eastAsia="Times New Roman" w:cs="Arial"/>
                                <w:bCs/>
                                <w:sz w:val="10"/>
                                <w:szCs w:val="22"/>
                              </w:rPr>
                            </w:pPr>
                          </w:p>
                          <w:p w14:paraId="74326E2C" w14:textId="0CB39764" w:rsidR="000C6612" w:rsidRPr="00B41104" w:rsidRDefault="000C6612" w:rsidP="000C6612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</w:pPr>
                            <w:r w:rsidRPr="00B41104">
                              <w:rPr>
                                <w:rFonts w:eastAsia="Times New Roman" w:cs="Arial"/>
                                <w:bCs/>
                                <w:sz w:val="20"/>
                                <w:szCs w:val="22"/>
                              </w:rPr>
                              <w:t xml:space="preserve">The full transcript and audio from the </w:t>
                            </w:r>
                            <w:r>
                              <w:rPr>
                                <w:rFonts w:eastAsia="Times New Roman" w:cs="Arial"/>
                                <w:bCs/>
                                <w:sz w:val="20"/>
                                <w:szCs w:val="22"/>
                              </w:rPr>
                              <w:t xml:space="preserve">All </w:t>
                            </w:r>
                            <w:r w:rsidR="00066CEC">
                              <w:rPr>
                                <w:rFonts w:eastAsia="Times New Roman" w:cs="Arial"/>
                                <w:bCs/>
                                <w:sz w:val="20"/>
                                <w:szCs w:val="22"/>
                              </w:rPr>
                              <w:t>EN Payments Call</w:t>
                            </w:r>
                            <w:r w:rsidRPr="00B41104">
                              <w:rPr>
                                <w:rFonts w:eastAsia="Times New Roman" w:cs="Arial"/>
                                <w:bCs/>
                                <w:sz w:val="20"/>
                                <w:szCs w:val="22"/>
                              </w:rPr>
                              <w:t xml:space="preserve"> are available at </w:t>
                            </w:r>
                            <w:hyperlink r:id="rId9" w:history="1">
                              <w:r w:rsidRPr="00B41104">
                                <w:rPr>
                                  <w:rFonts w:eastAsia="Times New Roman" w:cs="Arial"/>
                                  <w:bCs/>
                                  <w:color w:val="0000FF"/>
                                  <w:sz w:val="20"/>
                                  <w:szCs w:val="22"/>
                                  <w:u w:val="single"/>
                                </w:rPr>
                                <w:t>https://yourtickettowork.com/web/ttw/events-archive</w:t>
                              </w:r>
                            </w:hyperlink>
                            <w:r w:rsidRPr="00B41104">
                              <w:rPr>
                                <w:rFonts w:eastAsia="Times New Roman" w:cs="Arial"/>
                                <w:bCs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14:paraId="4DB97263" w14:textId="77777777" w:rsidR="000C6612" w:rsidRDefault="000C6612" w:rsidP="000C6612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</w:pPr>
                          </w:p>
                          <w:p w14:paraId="5E662916" w14:textId="22A7F291" w:rsidR="000C6612" w:rsidRPr="00B41104" w:rsidRDefault="000C6612" w:rsidP="000C6612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</w:pPr>
                            <w:r w:rsidRPr="00B41104"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  <w:t xml:space="preserve">The next All </w:t>
                            </w:r>
                            <w:r w:rsidR="00066CEC"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  <w:t xml:space="preserve">EN Payments </w:t>
                            </w:r>
                            <w:r w:rsidRPr="00B41104"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  <w:t xml:space="preserve">Call will be held </w:t>
                            </w:r>
                            <w:r w:rsidRPr="00B41104">
                              <w:rPr>
                                <w:rFonts w:eastAsia="Times New Roman" w:cs="Arial"/>
                                <w:b/>
                                <w:sz w:val="20"/>
                                <w:szCs w:val="22"/>
                              </w:rPr>
                              <w:t xml:space="preserve">Tuesday, </w:t>
                            </w:r>
                            <w:r w:rsidR="00DD5CF3">
                              <w:rPr>
                                <w:rFonts w:eastAsia="Times New Roman" w:cs="Arial"/>
                                <w:b/>
                                <w:sz w:val="20"/>
                                <w:szCs w:val="22"/>
                              </w:rPr>
                              <w:t>June 28</w:t>
                            </w:r>
                            <w:r>
                              <w:rPr>
                                <w:rFonts w:eastAsia="Times New Roman" w:cs="Arial"/>
                                <w:b/>
                                <w:sz w:val="20"/>
                                <w:szCs w:val="22"/>
                              </w:rPr>
                              <w:t xml:space="preserve">, at 3 p.m. </w:t>
                            </w:r>
                            <w:r w:rsidRPr="00B41104">
                              <w:rPr>
                                <w:rFonts w:eastAsia="Times New Roman" w:cs="Arial"/>
                                <w:b/>
                                <w:sz w:val="20"/>
                                <w:szCs w:val="22"/>
                              </w:rPr>
                              <w:t>ET</w:t>
                            </w:r>
                            <w:r w:rsidRPr="00B41104"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E95FC" id="_x0000_s1027" type="#_x0000_t202" style="position:absolute;left:0;text-align:left;margin-left:0;margin-top:62.8pt;width:466.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" fillcolor="#dbe5f1" stroked="f">
                <v:textbox>
                  <w:txbxContent>
                    <w:p w14:paraId="06AE9FBB" w14:textId="77777777" w:rsidR="000C6612" w:rsidRPr="00B41104" w:rsidRDefault="000C6612" w:rsidP="000C6612">
                      <w:pPr>
                        <w:spacing w:after="200" w:line="276" w:lineRule="auto"/>
                        <w:contextualSpacing/>
                        <w:jc w:val="center"/>
                        <w:rPr>
                          <w:rFonts w:eastAsia="Times New Roman" w:cs="Arial"/>
                          <w:bCs/>
                          <w:sz w:val="10"/>
                          <w:szCs w:val="22"/>
                        </w:rPr>
                      </w:pPr>
                    </w:p>
                    <w:p w14:paraId="74326E2C" w14:textId="0CB39764" w:rsidR="000C6612" w:rsidRPr="00B41104" w:rsidRDefault="000C6612" w:rsidP="000C6612">
                      <w:pPr>
                        <w:spacing w:after="200" w:line="276" w:lineRule="auto"/>
                        <w:contextualSpacing/>
                        <w:jc w:val="center"/>
                        <w:rPr>
                          <w:rFonts w:eastAsia="Times New Roman" w:cs="Arial"/>
                          <w:sz w:val="20"/>
                          <w:szCs w:val="22"/>
                        </w:rPr>
                      </w:pPr>
                      <w:r w:rsidRPr="00B41104">
                        <w:rPr>
                          <w:rFonts w:eastAsia="Times New Roman" w:cs="Arial"/>
                          <w:bCs/>
                          <w:sz w:val="20"/>
                          <w:szCs w:val="22"/>
                        </w:rPr>
                        <w:t xml:space="preserve">The full transcript and audio from the </w:t>
                      </w:r>
                      <w:r>
                        <w:rPr>
                          <w:rFonts w:eastAsia="Times New Roman" w:cs="Arial"/>
                          <w:bCs/>
                          <w:sz w:val="20"/>
                          <w:szCs w:val="22"/>
                        </w:rPr>
                        <w:t xml:space="preserve">All </w:t>
                      </w:r>
                      <w:r w:rsidR="00066CEC">
                        <w:rPr>
                          <w:rFonts w:eastAsia="Times New Roman" w:cs="Arial"/>
                          <w:bCs/>
                          <w:sz w:val="20"/>
                          <w:szCs w:val="22"/>
                        </w:rPr>
                        <w:t>EN Payments Call</w:t>
                      </w:r>
                      <w:r w:rsidRPr="00B41104">
                        <w:rPr>
                          <w:rFonts w:eastAsia="Times New Roman" w:cs="Arial"/>
                          <w:bCs/>
                          <w:sz w:val="20"/>
                          <w:szCs w:val="22"/>
                        </w:rPr>
                        <w:t xml:space="preserve"> are available at </w:t>
                      </w:r>
                      <w:hyperlink r:id="rId10" w:history="1">
                        <w:r w:rsidRPr="00B41104">
                          <w:rPr>
                            <w:rFonts w:eastAsia="Times New Roman" w:cs="Arial"/>
                            <w:bCs/>
                            <w:color w:val="0000FF"/>
                            <w:sz w:val="20"/>
                            <w:szCs w:val="22"/>
                            <w:u w:val="single"/>
                          </w:rPr>
                          <w:t>https://yourtickettowork.com/web/ttw/events-archive</w:t>
                        </w:r>
                      </w:hyperlink>
                      <w:r w:rsidRPr="00B41104">
                        <w:rPr>
                          <w:rFonts w:eastAsia="Times New Roman" w:cs="Arial"/>
                          <w:bCs/>
                          <w:sz w:val="20"/>
                          <w:szCs w:val="22"/>
                        </w:rPr>
                        <w:t>.</w:t>
                      </w:r>
                    </w:p>
                    <w:p w14:paraId="4DB97263" w14:textId="77777777" w:rsidR="000C6612" w:rsidRDefault="000C6612" w:rsidP="000C6612">
                      <w:pPr>
                        <w:spacing w:after="200" w:line="276" w:lineRule="auto"/>
                        <w:contextualSpacing/>
                        <w:jc w:val="center"/>
                        <w:rPr>
                          <w:rFonts w:eastAsia="Times New Roman" w:cs="Arial"/>
                          <w:sz w:val="20"/>
                          <w:szCs w:val="22"/>
                        </w:rPr>
                      </w:pPr>
                    </w:p>
                    <w:p w14:paraId="5E662916" w14:textId="22A7F291" w:rsidR="000C6612" w:rsidRPr="00B41104" w:rsidRDefault="000C6612" w:rsidP="000C6612">
                      <w:pPr>
                        <w:spacing w:after="200" w:line="276" w:lineRule="auto"/>
                        <w:contextualSpacing/>
                        <w:jc w:val="center"/>
                        <w:rPr>
                          <w:rFonts w:eastAsia="Times New Roman" w:cs="Arial"/>
                          <w:sz w:val="20"/>
                          <w:szCs w:val="22"/>
                        </w:rPr>
                      </w:pPr>
                      <w:r w:rsidRPr="00B41104">
                        <w:rPr>
                          <w:rFonts w:eastAsia="Times New Roman" w:cs="Arial"/>
                          <w:sz w:val="20"/>
                          <w:szCs w:val="22"/>
                        </w:rPr>
                        <w:t xml:space="preserve">The next All </w:t>
                      </w:r>
                      <w:r w:rsidR="00066CEC">
                        <w:rPr>
                          <w:rFonts w:eastAsia="Times New Roman" w:cs="Arial"/>
                          <w:sz w:val="20"/>
                          <w:szCs w:val="22"/>
                        </w:rPr>
                        <w:t xml:space="preserve">EN Payments </w:t>
                      </w:r>
                      <w:r w:rsidRPr="00B41104">
                        <w:rPr>
                          <w:rFonts w:eastAsia="Times New Roman" w:cs="Arial"/>
                          <w:sz w:val="20"/>
                          <w:szCs w:val="22"/>
                        </w:rPr>
                        <w:t xml:space="preserve">Call will be held </w:t>
                      </w:r>
                      <w:r w:rsidRPr="00B41104">
                        <w:rPr>
                          <w:rFonts w:eastAsia="Times New Roman" w:cs="Arial"/>
                          <w:b/>
                          <w:sz w:val="20"/>
                          <w:szCs w:val="22"/>
                        </w:rPr>
                        <w:t xml:space="preserve">Tuesday, </w:t>
                      </w:r>
                      <w:r w:rsidR="00DD5CF3">
                        <w:rPr>
                          <w:rFonts w:eastAsia="Times New Roman" w:cs="Arial"/>
                          <w:b/>
                          <w:sz w:val="20"/>
                          <w:szCs w:val="22"/>
                        </w:rPr>
                        <w:t>June 28</w:t>
                      </w:r>
                      <w:r>
                        <w:rPr>
                          <w:rFonts w:eastAsia="Times New Roman" w:cs="Arial"/>
                          <w:b/>
                          <w:sz w:val="20"/>
                          <w:szCs w:val="22"/>
                        </w:rPr>
                        <w:t xml:space="preserve">, at 3 p.m. </w:t>
                      </w:r>
                      <w:r w:rsidRPr="00B41104">
                        <w:rPr>
                          <w:rFonts w:eastAsia="Times New Roman" w:cs="Arial"/>
                          <w:b/>
                          <w:sz w:val="20"/>
                          <w:szCs w:val="22"/>
                        </w:rPr>
                        <w:t>ET</w:t>
                      </w:r>
                      <w:r w:rsidRPr="00B41104">
                        <w:rPr>
                          <w:rFonts w:eastAsia="Times New Roman" w:cs="Arial"/>
                          <w:sz w:val="20"/>
                          <w:szCs w:val="22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66CEC" w:rsidRPr="00DD5CF3" w:rsidSect="005578CF">
      <w:headerReference w:type="default" r:id="rId11"/>
      <w:footerReference w:type="default" r:id="rId12"/>
      <w:headerReference w:type="first" r:id="rId13"/>
      <w:pgSz w:w="12240" w:h="15840" w:code="1"/>
      <w:pgMar w:top="2592" w:right="1728" w:bottom="2160" w:left="1728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45F96" w14:textId="77777777" w:rsidR="00D63BF9" w:rsidRDefault="00D63BF9" w:rsidP="00193452">
      <w:pPr>
        <w:spacing w:before="0" w:line="240" w:lineRule="auto"/>
      </w:pPr>
      <w:r>
        <w:separator/>
      </w:r>
    </w:p>
  </w:endnote>
  <w:endnote w:type="continuationSeparator" w:id="0">
    <w:p w14:paraId="579E1245" w14:textId="77777777" w:rsidR="00D63BF9" w:rsidRDefault="00D63BF9" w:rsidP="0019345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enir Heavy">
    <w:altName w:val="Arial"/>
    <w:charset w:val="00"/>
    <w:family w:val="swiss"/>
    <w:pitch w:val="variable"/>
  </w:font>
  <w:font w:name="Aveni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0201A" w14:textId="0086248E" w:rsidR="0023275B" w:rsidRDefault="0023275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5351B93" wp14:editId="457B4FAE">
          <wp:simplePos x="0" y="0"/>
          <wp:positionH relativeFrom="column">
            <wp:posOffset>0</wp:posOffset>
          </wp:positionH>
          <wp:positionV relativeFrom="page">
            <wp:posOffset>9144000</wp:posOffset>
          </wp:positionV>
          <wp:extent cx="1234440" cy="484632"/>
          <wp:effectExtent l="0" t="0" r="381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icket to Work Logo_ULC_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484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16EA5" w14:textId="77777777" w:rsidR="00D63BF9" w:rsidRDefault="00D63BF9" w:rsidP="00193452">
      <w:pPr>
        <w:spacing w:before="0" w:line="240" w:lineRule="auto"/>
      </w:pPr>
      <w:r>
        <w:separator/>
      </w:r>
    </w:p>
  </w:footnote>
  <w:footnote w:type="continuationSeparator" w:id="0">
    <w:p w14:paraId="01D9D8F5" w14:textId="77777777" w:rsidR="00D63BF9" w:rsidRDefault="00D63BF9" w:rsidP="0019345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3EA63" w14:textId="5FFC6445" w:rsidR="00C60984" w:rsidRDefault="00066CEC" w:rsidP="00D34925">
    <w:pPr>
      <w:pStyle w:val="Header2"/>
    </w:pPr>
    <w:r>
      <w:t>EN Payments Call Recap</w:t>
    </w:r>
    <w:r w:rsidR="00C60984">
      <w:tab/>
    </w:r>
    <w:sdt>
      <w:sdtPr>
        <w:id w:val="-184469399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60984">
          <w:fldChar w:fldCharType="begin"/>
        </w:r>
        <w:r w:rsidR="00C60984">
          <w:instrText xml:space="preserve"> PAGE   \* MERGEFORMAT </w:instrText>
        </w:r>
        <w:r w:rsidR="00C60984">
          <w:fldChar w:fldCharType="separate"/>
        </w:r>
        <w:r w:rsidR="00DD5CF3">
          <w:rPr>
            <w:noProof/>
          </w:rPr>
          <w:t>3</w:t>
        </w:r>
        <w:r w:rsidR="00C60984">
          <w:rPr>
            <w:noProof/>
          </w:rPr>
          <w:fldChar w:fldCharType="end"/>
        </w:r>
      </w:sdtContent>
    </w:sdt>
  </w:p>
  <w:p w14:paraId="3654989D" w14:textId="45452D1B" w:rsidR="00C60984" w:rsidRPr="00DB4713" w:rsidRDefault="00C60984" w:rsidP="00DB47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0F56F" w14:textId="410DE996" w:rsidR="00C60984" w:rsidRPr="005578CF" w:rsidRDefault="00024682" w:rsidP="005578CF">
    <w:pPr>
      <w:pStyle w:val="Header1"/>
      <w:rPr>
        <w:b/>
      </w:rPr>
    </w:pPr>
    <w:r w:rsidRPr="005578CF">
      <w:rPr>
        <w:b/>
      </w:rPr>
      <w:drawing>
        <wp:anchor distT="0" distB="0" distL="114300" distR="114300" simplePos="0" relativeHeight="251662336" behindDoc="1" locked="0" layoutInCell="1" allowOverlap="1" wp14:anchorId="02360771" wp14:editId="4E4B7188">
          <wp:simplePos x="0" y="0"/>
          <wp:positionH relativeFrom="page">
            <wp:posOffset>4997</wp:posOffset>
          </wp:positionH>
          <wp:positionV relativeFrom="page">
            <wp:posOffset>0</wp:posOffset>
          </wp:positionV>
          <wp:extent cx="7757409" cy="126187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TW-headerA_01ea_033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409" cy="1261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9360A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23A62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5057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D0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E6696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B039F6"/>
    <w:lvl w:ilvl="0">
      <w:start w:val="1"/>
      <w:numFmt w:val="bullet"/>
      <w:pStyle w:val="ListBullet4"/>
      <w:lvlText w:val=""/>
      <w:lvlJc w:val="left"/>
      <w:pPr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BCA648"/>
    <w:lvl w:ilvl="0">
      <w:start w:val="1"/>
      <w:numFmt w:val="bullet"/>
      <w:pStyle w:val="ListBullet3"/>
      <w:lvlText w:val="o"/>
      <w:lvlJc w:val="left"/>
      <w:pPr>
        <w:ind w:left="1080" w:hanging="360"/>
      </w:pPr>
      <w:rPr>
        <w:rFonts w:ascii="Arial" w:hAnsi="Arial" w:hint="default"/>
        <w:position w:val="0"/>
        <w:sz w:val="18"/>
      </w:rPr>
    </w:lvl>
  </w:abstractNum>
  <w:abstractNum w:abstractNumId="7" w15:restartNumberingAfterBreak="0">
    <w:nsid w:val="FFFFFF83"/>
    <w:multiLevelType w:val="singleLevel"/>
    <w:tmpl w:val="EB80354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244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06E96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position w:val="-2"/>
        <w:sz w:val="26"/>
      </w:rPr>
    </w:lvl>
  </w:abstractNum>
  <w:abstractNum w:abstractNumId="10" w15:restartNumberingAfterBreak="0">
    <w:nsid w:val="0A5E663C"/>
    <w:multiLevelType w:val="hybridMultilevel"/>
    <w:tmpl w:val="8DCEA5CE"/>
    <w:lvl w:ilvl="0" w:tplc="7884F7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EAE50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8A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4C7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48A3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0669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25F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CC76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44D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35C5D"/>
    <w:multiLevelType w:val="hybridMultilevel"/>
    <w:tmpl w:val="34784DD0"/>
    <w:lvl w:ilvl="0" w:tplc="D1D2EA02">
      <w:start w:val="1"/>
      <w:numFmt w:val="decimal"/>
      <w:lvlText w:val="%1."/>
      <w:lvlJc w:val="left"/>
      <w:pPr>
        <w:ind w:left="2160" w:hanging="360"/>
      </w:pPr>
      <w:rPr>
        <w:rFonts w:ascii="Arial Bold" w:hAnsi="Arial Bold" w:hint="default"/>
        <w:b/>
        <w:i w:val="0"/>
        <w:color w:val="39579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0BE0474E"/>
    <w:multiLevelType w:val="hybridMultilevel"/>
    <w:tmpl w:val="ED8A7A32"/>
    <w:lvl w:ilvl="0" w:tplc="8286DF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121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A20C4F"/>
    <w:multiLevelType w:val="multilevel"/>
    <w:tmpl w:val="EC7A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D44927"/>
    <w:multiLevelType w:val="multilevel"/>
    <w:tmpl w:val="49F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BB608B"/>
    <w:multiLevelType w:val="multilevel"/>
    <w:tmpl w:val="34784DD0"/>
    <w:lvl w:ilvl="0">
      <w:start w:val="1"/>
      <w:numFmt w:val="decimal"/>
      <w:lvlText w:val="%1."/>
      <w:lvlJc w:val="left"/>
      <w:pPr>
        <w:ind w:left="2160" w:hanging="360"/>
      </w:pPr>
      <w:rPr>
        <w:rFonts w:ascii="Arial Bold" w:hAnsi="Arial Bold" w:hint="default"/>
        <w:b/>
        <w:i w:val="0"/>
        <w:color w:val="395791"/>
        <w:sz w:val="28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8E25943"/>
    <w:multiLevelType w:val="hybridMultilevel"/>
    <w:tmpl w:val="22B0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A547BD"/>
    <w:multiLevelType w:val="hybridMultilevel"/>
    <w:tmpl w:val="C436C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8217F"/>
    <w:multiLevelType w:val="hybridMultilevel"/>
    <w:tmpl w:val="9D486436"/>
    <w:lvl w:ilvl="0" w:tplc="D40095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E53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E1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84E6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C8D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C8A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96AC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0E7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606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D22D7"/>
    <w:multiLevelType w:val="hybridMultilevel"/>
    <w:tmpl w:val="8098B2E4"/>
    <w:lvl w:ilvl="0" w:tplc="9AC4E032">
      <w:start w:val="1"/>
      <w:numFmt w:val="decimal"/>
      <w:pStyle w:val="ListNumber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color w:val="auto"/>
        <w:sz w:val="24"/>
        <w:u w:val="none" w:color="548DE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9364C"/>
    <w:multiLevelType w:val="hybridMultilevel"/>
    <w:tmpl w:val="6A8A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D4B1A"/>
    <w:multiLevelType w:val="hybridMultilevel"/>
    <w:tmpl w:val="B726D126"/>
    <w:lvl w:ilvl="0" w:tplc="1C24E3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D0AC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696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7255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7E0F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A6D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C38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8432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A45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17DFE"/>
    <w:multiLevelType w:val="multilevel"/>
    <w:tmpl w:val="7744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DA3E03"/>
    <w:multiLevelType w:val="hybridMultilevel"/>
    <w:tmpl w:val="8EC8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F2DD0"/>
    <w:multiLevelType w:val="hybridMultilevel"/>
    <w:tmpl w:val="74E2746A"/>
    <w:lvl w:ilvl="0" w:tplc="7F8A6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286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44F5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47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5659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9650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A62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2A1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C2E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2E23A5"/>
    <w:multiLevelType w:val="multilevel"/>
    <w:tmpl w:val="4F3A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5"/>
  </w:num>
  <w:num w:numId="3">
    <w:abstractNumId w:val="22"/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15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19"/>
  </w:num>
  <w:num w:numId="21">
    <w:abstractNumId w:val="23"/>
  </w:num>
  <w:num w:numId="22">
    <w:abstractNumId w:val="12"/>
  </w:num>
  <w:num w:numId="23">
    <w:abstractNumId w:val="20"/>
  </w:num>
  <w:num w:numId="24">
    <w:abstractNumId w:val="24"/>
  </w:num>
  <w:num w:numId="25">
    <w:abstractNumId w:val="17"/>
  </w:num>
  <w:num w:numId="26">
    <w:abstractNumId w:val="16"/>
  </w:num>
  <w:num w:numId="27">
    <w:abstractNumId w:val="18"/>
  </w:num>
  <w:num w:numId="28">
    <w:abstractNumId w:val="1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4D"/>
    <w:rsid w:val="00024682"/>
    <w:rsid w:val="00066CEC"/>
    <w:rsid w:val="00081845"/>
    <w:rsid w:val="000C6612"/>
    <w:rsid w:val="00104164"/>
    <w:rsid w:val="001214D7"/>
    <w:rsid w:val="00126C5B"/>
    <w:rsid w:val="001323E5"/>
    <w:rsid w:val="001708C6"/>
    <w:rsid w:val="00177E00"/>
    <w:rsid w:val="00193452"/>
    <w:rsid w:val="001B094E"/>
    <w:rsid w:val="001D5EB8"/>
    <w:rsid w:val="0023275B"/>
    <w:rsid w:val="00273FAE"/>
    <w:rsid w:val="00297C8C"/>
    <w:rsid w:val="002A6305"/>
    <w:rsid w:val="002C01E9"/>
    <w:rsid w:val="002C75A3"/>
    <w:rsid w:val="002D61A6"/>
    <w:rsid w:val="002E2004"/>
    <w:rsid w:val="003114D0"/>
    <w:rsid w:val="00314763"/>
    <w:rsid w:val="003444FD"/>
    <w:rsid w:val="003E0FE2"/>
    <w:rsid w:val="003F1221"/>
    <w:rsid w:val="0043081A"/>
    <w:rsid w:val="004A506C"/>
    <w:rsid w:val="004F7A7C"/>
    <w:rsid w:val="005429C8"/>
    <w:rsid w:val="005578CF"/>
    <w:rsid w:val="005D4B40"/>
    <w:rsid w:val="00603ED7"/>
    <w:rsid w:val="0062166E"/>
    <w:rsid w:val="0063414D"/>
    <w:rsid w:val="006747F3"/>
    <w:rsid w:val="006A0608"/>
    <w:rsid w:val="006B5AA4"/>
    <w:rsid w:val="00704DF1"/>
    <w:rsid w:val="007A5BD8"/>
    <w:rsid w:val="007D71D8"/>
    <w:rsid w:val="008138C7"/>
    <w:rsid w:val="0089503A"/>
    <w:rsid w:val="008958E5"/>
    <w:rsid w:val="009058E1"/>
    <w:rsid w:val="00926F20"/>
    <w:rsid w:val="009301F0"/>
    <w:rsid w:val="00934F3D"/>
    <w:rsid w:val="009E692B"/>
    <w:rsid w:val="00A00CF6"/>
    <w:rsid w:val="00A061A1"/>
    <w:rsid w:val="00A2465A"/>
    <w:rsid w:val="00A30B82"/>
    <w:rsid w:val="00A50C43"/>
    <w:rsid w:val="00A6498A"/>
    <w:rsid w:val="00AB0FB1"/>
    <w:rsid w:val="00B02451"/>
    <w:rsid w:val="00B31AFB"/>
    <w:rsid w:val="00B5608C"/>
    <w:rsid w:val="00BA2DB1"/>
    <w:rsid w:val="00BB0D64"/>
    <w:rsid w:val="00BE7F96"/>
    <w:rsid w:val="00C60984"/>
    <w:rsid w:val="00C6156C"/>
    <w:rsid w:val="00D049FB"/>
    <w:rsid w:val="00D34925"/>
    <w:rsid w:val="00D43844"/>
    <w:rsid w:val="00D5341A"/>
    <w:rsid w:val="00D63BF9"/>
    <w:rsid w:val="00DB4713"/>
    <w:rsid w:val="00DD5CF3"/>
    <w:rsid w:val="00E226E1"/>
    <w:rsid w:val="00E57B5C"/>
    <w:rsid w:val="00EA45B5"/>
    <w:rsid w:val="00EA6E31"/>
    <w:rsid w:val="00EC39BF"/>
    <w:rsid w:val="00EE1C3E"/>
    <w:rsid w:val="00EE6627"/>
    <w:rsid w:val="00F24A4A"/>
    <w:rsid w:val="00F25CF8"/>
    <w:rsid w:val="00F47403"/>
    <w:rsid w:val="00FA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B398A07"/>
  <w15:docId w15:val="{A1E56A1B-2BD4-4502-8B74-8083D362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8CF"/>
    <w:pPr>
      <w:widowControl w:val="0"/>
      <w:autoSpaceDE w:val="0"/>
      <w:autoSpaceDN w:val="0"/>
      <w:adjustRightInd w:val="0"/>
      <w:spacing w:before="180" w:after="0" w:line="300" w:lineRule="exact"/>
    </w:pPr>
    <w:rPr>
      <w:rFonts w:ascii="Arial" w:eastAsiaTheme="minorEastAsia" w:hAnsi="Arial" w:cs="Times New Roman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301F0"/>
    <w:pPr>
      <w:spacing w:line="480" w:lineRule="exact"/>
      <w:outlineLvl w:val="0"/>
    </w:pPr>
    <w:rPr>
      <w:rFonts w:cs="Avenir Heavy"/>
      <w:bCs/>
      <w:color w:val="1D589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B5608C"/>
    <w:pPr>
      <w:spacing w:before="360" w:line="340" w:lineRule="exact"/>
      <w:outlineLvl w:val="1"/>
    </w:pPr>
    <w:rPr>
      <w:rFonts w:cs="Avenir Heavy"/>
      <w:b/>
      <w:bCs/>
      <w:color w:val="1D5895"/>
      <w:sz w:val="28"/>
      <w:szCs w:val="29"/>
    </w:rPr>
  </w:style>
  <w:style w:type="paragraph" w:styleId="Heading3">
    <w:name w:val="heading 3"/>
    <w:basedOn w:val="Normal"/>
    <w:next w:val="Normal"/>
    <w:link w:val="Heading3Char"/>
    <w:uiPriority w:val="1"/>
    <w:qFormat/>
    <w:rsid w:val="002A6305"/>
    <w:pPr>
      <w:spacing w:before="240"/>
      <w:outlineLvl w:val="2"/>
    </w:pPr>
    <w:rPr>
      <w:rFonts w:cs="Avenir Heavy"/>
      <w:b/>
      <w:bCs/>
      <w:sz w:val="24"/>
      <w:szCs w:val="22"/>
    </w:rPr>
  </w:style>
  <w:style w:type="paragraph" w:styleId="Heading4">
    <w:name w:val="heading 4"/>
    <w:basedOn w:val="Normal"/>
    <w:link w:val="Heading4Char"/>
    <w:uiPriority w:val="9"/>
    <w:qFormat/>
    <w:rsid w:val="002A6305"/>
    <w:pPr>
      <w:spacing w:before="240" w:line="280" w:lineRule="exact"/>
      <w:outlineLvl w:val="3"/>
    </w:pPr>
    <w:rPr>
      <w:rFonts w:eastAsia="Times New Roman"/>
      <w:b/>
      <w:bCs/>
      <w:i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2A6305"/>
    <w:rPr>
      <w:rFonts w:ascii="Arial" w:eastAsiaTheme="minorEastAsia" w:hAnsi="Arial" w:cs="Avenir Heavy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6305"/>
    <w:rPr>
      <w:rFonts w:ascii="Arial" w:eastAsia="Times New Roman" w:hAnsi="Arial" w:cs="Times New Roman"/>
      <w:b/>
      <w:bCs/>
      <w:i/>
      <w:szCs w:val="24"/>
    </w:rPr>
  </w:style>
  <w:style w:type="paragraph" w:styleId="NormalWeb">
    <w:name w:val="Normal (Web)"/>
    <w:basedOn w:val="Normal"/>
    <w:uiPriority w:val="99"/>
    <w:unhideWhenUsed/>
    <w:rsid w:val="00634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63414D"/>
    <w:rPr>
      <w:b/>
      <w:bCs/>
    </w:rPr>
  </w:style>
  <w:style w:type="character" w:customStyle="1" w:styleId="apple-converted-space">
    <w:name w:val="apple-converted-space"/>
    <w:basedOn w:val="DefaultParagraphFont"/>
    <w:rsid w:val="0063414D"/>
  </w:style>
  <w:style w:type="character" w:styleId="Hyperlink">
    <w:name w:val="Hyperlink"/>
    <w:basedOn w:val="DefaultParagraphFont"/>
    <w:uiPriority w:val="99"/>
    <w:unhideWhenUsed/>
    <w:rsid w:val="0063414D"/>
    <w:rPr>
      <w:color w:val="0000FF"/>
      <w:u w:val="single"/>
    </w:rPr>
  </w:style>
  <w:style w:type="character" w:customStyle="1" w:styleId="credit">
    <w:name w:val="credit"/>
    <w:basedOn w:val="DefaultParagraphFont"/>
    <w:rsid w:val="0063414D"/>
  </w:style>
  <w:style w:type="character" w:customStyle="1" w:styleId="Heading2Char">
    <w:name w:val="Heading 2 Char"/>
    <w:basedOn w:val="DefaultParagraphFont"/>
    <w:link w:val="Heading2"/>
    <w:uiPriority w:val="1"/>
    <w:rsid w:val="00B5608C"/>
    <w:rPr>
      <w:rFonts w:ascii="Arial" w:eastAsiaTheme="minorEastAsia" w:hAnsi="Arial" w:cs="Avenir Heavy"/>
      <w:b/>
      <w:bCs/>
      <w:color w:val="1D5895"/>
      <w:sz w:val="28"/>
      <w:szCs w:val="29"/>
    </w:rPr>
  </w:style>
  <w:style w:type="paragraph" w:styleId="NoSpacing">
    <w:name w:val="No Spacing"/>
    <w:uiPriority w:val="1"/>
    <w:qFormat/>
    <w:rsid w:val="00F474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58E5"/>
  </w:style>
  <w:style w:type="paragraph" w:styleId="BodyText">
    <w:name w:val="Body Text"/>
    <w:link w:val="BodyTextChar"/>
    <w:uiPriority w:val="1"/>
    <w:qFormat/>
    <w:rsid w:val="005D4B40"/>
    <w:pPr>
      <w:spacing w:before="180" w:after="0" w:line="300" w:lineRule="exact"/>
      <w:ind w:left="576"/>
    </w:pPr>
    <w:rPr>
      <w:rFonts w:ascii="Arial" w:eastAsiaTheme="minorEastAsia" w:hAnsi="Arial" w:cs="Avenir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D4B40"/>
    <w:rPr>
      <w:rFonts w:ascii="Arial" w:eastAsiaTheme="minorEastAsia" w:hAnsi="Arial" w:cs="Avenir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1"/>
    <w:rsid w:val="009301F0"/>
    <w:rPr>
      <w:rFonts w:ascii="Arial" w:eastAsiaTheme="minorEastAsia" w:hAnsi="Arial" w:cs="Avenir Heavy"/>
      <w:bCs/>
      <w:color w:val="1D5895"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8958E5"/>
  </w:style>
  <w:style w:type="paragraph" w:styleId="Header">
    <w:name w:val="header"/>
    <w:link w:val="HeaderChar"/>
    <w:unhideWhenUsed/>
    <w:rsid w:val="00DB4713"/>
    <w:pPr>
      <w:tabs>
        <w:tab w:val="center" w:pos="4680"/>
        <w:tab w:val="right" w:pos="9360"/>
      </w:tabs>
      <w:spacing w:line="240" w:lineRule="auto"/>
    </w:pPr>
    <w:rPr>
      <w:rFonts w:ascii="Arial" w:eastAsiaTheme="minorEastAsia" w:hAnsi="Arial" w:cs="Times New Roman"/>
      <w:color w:val="1D5895"/>
      <w:sz w:val="21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4713"/>
    <w:rPr>
      <w:rFonts w:ascii="Arial" w:eastAsiaTheme="minorEastAsia" w:hAnsi="Arial" w:cs="Times New Roman"/>
      <w:color w:val="1D5895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19345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452"/>
    <w:rPr>
      <w:rFonts w:ascii="Arial" w:eastAsiaTheme="minorEastAsia" w:hAnsi="Arial" w:cs="Times New Roman"/>
      <w:sz w:val="21"/>
      <w:szCs w:val="24"/>
    </w:rPr>
  </w:style>
  <w:style w:type="paragraph" w:customStyle="1" w:styleId="Tipstext">
    <w:name w:val="Tips text"/>
    <w:uiPriority w:val="1"/>
    <w:qFormat/>
    <w:rsid w:val="005D4B40"/>
    <w:pPr>
      <w:spacing w:before="180" w:after="0" w:line="300" w:lineRule="exact"/>
      <w:ind w:left="576"/>
    </w:pPr>
    <w:rPr>
      <w:rFonts w:ascii="Arial" w:eastAsiaTheme="minorEastAsia" w:hAnsi="Arial" w:cs="Times New Roman"/>
      <w:sz w:val="21"/>
      <w:szCs w:val="24"/>
    </w:rPr>
  </w:style>
  <w:style w:type="paragraph" w:styleId="ListBullet">
    <w:name w:val="List Bullet"/>
    <w:basedOn w:val="Normal"/>
    <w:uiPriority w:val="99"/>
    <w:unhideWhenUsed/>
    <w:rsid w:val="00B5608C"/>
    <w:pPr>
      <w:widowControl/>
      <w:numPr>
        <w:numId w:val="17"/>
      </w:numPr>
      <w:autoSpaceDE/>
      <w:autoSpaceDN/>
      <w:adjustRightInd/>
      <w:spacing w:before="120" w:line="280" w:lineRule="exact"/>
    </w:pPr>
    <w:rPr>
      <w:rFonts w:eastAsiaTheme="minorHAnsi" w:cstheme="minorBidi"/>
      <w:sz w:val="22"/>
      <w:szCs w:val="22"/>
    </w:rPr>
  </w:style>
  <w:style w:type="paragraph" w:styleId="ListBullet2">
    <w:name w:val="List Bullet 2"/>
    <w:basedOn w:val="Normal"/>
    <w:uiPriority w:val="99"/>
    <w:unhideWhenUsed/>
    <w:rsid w:val="007D71D8"/>
    <w:pPr>
      <w:widowControl/>
      <w:numPr>
        <w:numId w:val="18"/>
      </w:numPr>
      <w:autoSpaceDE/>
      <w:autoSpaceDN/>
      <w:adjustRightInd/>
      <w:spacing w:before="120" w:line="280" w:lineRule="exact"/>
      <w:ind w:left="864"/>
    </w:pPr>
    <w:rPr>
      <w:rFonts w:eastAsiaTheme="minorHAnsi" w:cstheme="minorBidi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4A506C"/>
    <w:pPr>
      <w:widowControl/>
      <w:numPr>
        <w:numId w:val="19"/>
      </w:numPr>
      <w:autoSpaceDE/>
      <w:autoSpaceDN/>
      <w:adjustRightInd/>
      <w:spacing w:before="120" w:line="280" w:lineRule="exact"/>
      <w:ind w:left="1224"/>
    </w:pPr>
    <w:rPr>
      <w:rFonts w:eastAsiaTheme="minorHAnsi" w:cstheme="minorBidi"/>
      <w:sz w:val="22"/>
      <w:szCs w:val="22"/>
    </w:rPr>
  </w:style>
  <w:style w:type="paragraph" w:styleId="ListNumber">
    <w:name w:val="List Number"/>
    <w:uiPriority w:val="99"/>
    <w:unhideWhenUsed/>
    <w:rsid w:val="00D5341A"/>
    <w:pPr>
      <w:numPr>
        <w:numId w:val="20"/>
      </w:numPr>
      <w:spacing w:before="120" w:after="120" w:line="300" w:lineRule="exact"/>
      <w:ind w:left="360"/>
    </w:pPr>
    <w:rPr>
      <w:rFonts w:ascii="Arial" w:eastAsiaTheme="majorEastAsia" w:hAnsi="Arial" w:cstheme="majorBidi"/>
      <w:b/>
      <w:szCs w:val="26"/>
    </w:rPr>
  </w:style>
  <w:style w:type="paragraph" w:customStyle="1" w:styleId="Header1">
    <w:name w:val="Header 1"/>
    <w:uiPriority w:val="1"/>
    <w:qFormat/>
    <w:rsid w:val="005578CF"/>
    <w:pPr>
      <w:tabs>
        <w:tab w:val="left" w:pos="2592"/>
        <w:tab w:val="right" w:pos="9180"/>
      </w:tabs>
      <w:spacing w:before="60" w:after="0" w:line="480" w:lineRule="exact"/>
      <w:jc w:val="right"/>
    </w:pPr>
    <w:rPr>
      <w:rFonts w:ascii="Arial" w:eastAsiaTheme="minorEastAsia" w:hAnsi="Arial" w:cs="Times New Roman"/>
      <w:noProof/>
      <w:color w:val="FFFFFF" w:themeColor="background1"/>
      <w:spacing w:val="14"/>
      <w:sz w:val="36"/>
      <w:szCs w:val="36"/>
    </w:rPr>
  </w:style>
  <w:style w:type="paragraph" w:customStyle="1" w:styleId="Header2">
    <w:name w:val="Header 2"/>
    <w:uiPriority w:val="1"/>
    <w:qFormat/>
    <w:rsid w:val="00D34925"/>
    <w:pPr>
      <w:tabs>
        <w:tab w:val="right" w:pos="8730"/>
      </w:tabs>
      <w:outlineLvl w:val="0"/>
    </w:pPr>
    <w:rPr>
      <w:rFonts w:ascii="Arial" w:eastAsiaTheme="minorEastAsia" w:hAnsi="Arial" w:cs="Times New Roman"/>
      <w:color w:val="1D5895"/>
      <w:sz w:val="21"/>
      <w:szCs w:val="24"/>
    </w:rPr>
  </w:style>
  <w:style w:type="paragraph" w:styleId="ListBullet4">
    <w:name w:val="List Bullet 4"/>
    <w:uiPriority w:val="99"/>
    <w:unhideWhenUsed/>
    <w:rsid w:val="004A506C"/>
    <w:pPr>
      <w:numPr>
        <w:numId w:val="9"/>
      </w:numPr>
      <w:spacing w:before="120" w:after="0" w:line="280" w:lineRule="exact"/>
      <w:ind w:left="1656"/>
      <w:contextualSpacing/>
    </w:pPr>
    <w:rPr>
      <w:rFonts w:ascii="Arial" w:eastAsiaTheme="minorEastAsia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ervice@ssa.gov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rtickettowork.com/web/ttw/events-arch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rtickettowork.com/web/ttw/events-archiv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27C32-C384-450C-9962-9AB12408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PSI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Sheridan Walker</dc:creator>
  <cp:lastModifiedBy>LaTasha Durret</cp:lastModifiedBy>
  <cp:revision>2</cp:revision>
  <cp:lastPrinted>2016-03-30T23:54:00Z</cp:lastPrinted>
  <dcterms:created xsi:type="dcterms:W3CDTF">2016-06-01T14:36:00Z</dcterms:created>
  <dcterms:modified xsi:type="dcterms:W3CDTF">2016-06-01T14:36:00Z</dcterms:modified>
</cp:coreProperties>
</file>