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BE" w:rsidRDefault="00C558BE" w:rsidP="00C558BE">
      <w:pPr>
        <w:pStyle w:val="Photo"/>
        <w:spacing w:after="0"/>
        <w:jc w:val="left"/>
        <w:rPr>
          <w:rFonts w:cs="Arial"/>
          <w:b/>
          <w:bCs/>
          <w:sz w:val="24"/>
          <w:szCs w:val="24"/>
        </w:rPr>
      </w:pPr>
      <w:r w:rsidRPr="00C558BE">
        <w:rPr>
          <w:rFonts w:cs="Arial"/>
          <w:b/>
          <w:bCs/>
          <w:u w:val="single"/>
        </w:rPr>
        <w:t xml:space="preserve"> </w:t>
      </w:r>
      <w:r w:rsidRPr="004F3751">
        <w:rPr>
          <w:rFonts w:cs="Arial"/>
          <w:b/>
          <w:bCs/>
          <w:sz w:val="24"/>
          <w:szCs w:val="24"/>
          <w:u w:val="single"/>
        </w:rPr>
        <w:t>Updates</w:t>
      </w:r>
      <w:r>
        <w:rPr>
          <w:rFonts w:cs="Arial"/>
          <w:b/>
          <w:bCs/>
          <w:sz w:val="24"/>
          <w:szCs w:val="24"/>
        </w:rPr>
        <w:t xml:space="preserve"> </w:t>
      </w:r>
    </w:p>
    <w:p w:rsidR="00C558BE" w:rsidRPr="00AF5F8B" w:rsidRDefault="00C558BE" w:rsidP="00C558BE">
      <w:pPr>
        <w:pStyle w:val="Photo"/>
        <w:spacing w:after="0"/>
        <w:jc w:val="left"/>
        <w:rPr>
          <w:rFonts w:cs="Arial"/>
          <w:bCs/>
        </w:rPr>
      </w:pPr>
    </w:p>
    <w:p w:rsidR="00C558BE" w:rsidRDefault="00C558BE" w:rsidP="00C558BE">
      <w:pPr>
        <w:pStyle w:val="Photo"/>
        <w:spacing w:after="0"/>
        <w:jc w:val="left"/>
        <w:rPr>
          <w:rFonts w:cs="Arial"/>
          <w:bCs/>
        </w:rPr>
      </w:pPr>
      <w:proofErr w:type="gramStart"/>
      <w:r>
        <w:rPr>
          <w:rFonts w:cs="Arial"/>
          <w:b/>
          <w:bCs/>
          <w:i/>
        </w:rPr>
        <w:t>ePay</w:t>
      </w:r>
      <w:proofErr w:type="gramEnd"/>
      <w:r>
        <w:rPr>
          <w:rFonts w:cs="Arial"/>
          <w:b/>
          <w:bCs/>
          <w:i/>
        </w:rPr>
        <w:t xml:space="preserve"> Summary</w:t>
      </w:r>
      <w:r w:rsidRPr="00AF5F8B">
        <w:rPr>
          <w:rFonts w:cs="Arial"/>
          <w:bCs/>
        </w:rPr>
        <w:t xml:space="preserve">: </w:t>
      </w:r>
      <w:r>
        <w:rPr>
          <w:rFonts w:cs="Arial"/>
          <w:bCs/>
        </w:rPr>
        <w:t xml:space="preserve">The grand total for payments from last quarter was higher than usual due to the addition of New Hampshire. New Hampshire was paid over $1 million for 1,641 claims. Oregon-blind received their first payment on the books. The last quarter saw 4,778 claims processed which amounted to $3,137,000. The VREN ePay file for April had 158 claims listed for Phase 1 Milestone Only. However, for the ongoing support file there were 4,500 claims submitted. </w:t>
      </w:r>
    </w:p>
    <w:p w:rsidR="00C558BE" w:rsidRPr="00AF5F8B" w:rsidRDefault="00C558BE" w:rsidP="00C558BE">
      <w:pPr>
        <w:pStyle w:val="Photo"/>
        <w:spacing w:after="0"/>
        <w:jc w:val="left"/>
        <w:rPr>
          <w:rFonts w:cs="Arial"/>
          <w:bCs/>
        </w:rPr>
      </w:pPr>
    </w:p>
    <w:p w:rsidR="00C558BE" w:rsidRPr="00AF5F8B" w:rsidRDefault="00C558BE" w:rsidP="00C558BE">
      <w:pPr>
        <w:pStyle w:val="Photo"/>
        <w:spacing w:after="0"/>
        <w:jc w:val="left"/>
        <w:rPr>
          <w:rFonts w:cs="Arial"/>
          <w:bCs/>
        </w:rPr>
      </w:pPr>
      <w:r>
        <w:rPr>
          <w:rFonts w:cs="Arial"/>
          <w:b/>
          <w:bCs/>
          <w:i/>
        </w:rPr>
        <w:t>Ticket Portal</w:t>
      </w:r>
      <w:r w:rsidRPr="00AF5F8B">
        <w:rPr>
          <w:rFonts w:cs="Arial"/>
          <w:bCs/>
        </w:rPr>
        <w:t>:</w:t>
      </w:r>
      <w:r w:rsidRPr="00AF5F8B">
        <w:rPr>
          <w:rFonts w:cs="Arial"/>
          <w:b/>
          <w:bCs/>
        </w:rPr>
        <w:t xml:space="preserve"> </w:t>
      </w:r>
      <w:r>
        <w:rPr>
          <w:rFonts w:cs="Arial"/>
          <w:bCs/>
        </w:rPr>
        <w:t xml:space="preserve">It is really important that agencies complete all the requirements to access the Portal. There are four VRENs who have already completed their suitability and obtained a mySSA account. There should be at least one person prepared to access the Portal for an organization to be considered Portal ready. Natalie </w:t>
      </w:r>
      <w:proofErr w:type="spellStart"/>
      <w:r>
        <w:rPr>
          <w:rFonts w:cs="Arial"/>
          <w:bCs/>
        </w:rPr>
        <w:t>Sendledofer</w:t>
      </w:r>
      <w:proofErr w:type="spellEnd"/>
      <w:r>
        <w:rPr>
          <w:rFonts w:cs="Arial"/>
          <w:bCs/>
        </w:rPr>
        <w:t xml:space="preserve"> is the contact person for any questions regarding suitability. Natalie can be reached via phone at 410-966-5696 or email at </w:t>
      </w:r>
      <w:hyperlink r:id="rId8" w:history="1">
        <w:r w:rsidRPr="00A92110">
          <w:rPr>
            <w:rStyle w:val="Hyperlink"/>
            <w:rFonts w:cs="Arial"/>
            <w:bCs/>
          </w:rPr>
          <w:t>natalie.sendldorfer@ssa.gov</w:t>
        </w:r>
      </w:hyperlink>
      <w:r>
        <w:rPr>
          <w:rFonts w:cs="Arial"/>
          <w:bCs/>
        </w:rPr>
        <w:t xml:space="preserve">. There will be features added for VRENs to use shortly. </w:t>
      </w:r>
      <w:bookmarkStart w:id="0" w:name="_GoBack"/>
      <w:bookmarkEnd w:id="0"/>
    </w:p>
    <w:p w:rsidR="00C558BE" w:rsidRPr="00DA1810" w:rsidRDefault="00C558BE" w:rsidP="00C558BE">
      <w:pPr>
        <w:pStyle w:val="Photo"/>
        <w:spacing w:after="0"/>
        <w:jc w:val="left"/>
        <w:rPr>
          <w:rFonts w:cs="Arial"/>
          <w:bCs/>
          <w:sz w:val="24"/>
          <w:szCs w:val="24"/>
          <w:u w:val="single"/>
        </w:rPr>
      </w:pPr>
    </w:p>
    <w:p w:rsidR="00C558BE" w:rsidRPr="00F6586C" w:rsidRDefault="00C558BE" w:rsidP="00C558BE">
      <w:pPr>
        <w:pStyle w:val="Default"/>
        <w:rPr>
          <w:b/>
          <w:bCs/>
          <w:u w:val="single"/>
        </w:rPr>
      </w:pPr>
      <w:r w:rsidRPr="00F6586C">
        <w:rPr>
          <w:b/>
          <w:bCs/>
          <w:u w:val="single"/>
        </w:rPr>
        <w:t xml:space="preserve">State VREN Ongoing Support and </w:t>
      </w:r>
      <w:proofErr w:type="spellStart"/>
      <w:r w:rsidRPr="00F6586C">
        <w:rPr>
          <w:b/>
          <w:bCs/>
          <w:u w:val="single"/>
        </w:rPr>
        <w:t>eProcess</w:t>
      </w:r>
      <w:proofErr w:type="spellEnd"/>
      <w:r w:rsidRPr="00F6586C">
        <w:rPr>
          <w:b/>
          <w:bCs/>
          <w:u w:val="single"/>
        </w:rPr>
        <w:t xml:space="preserve"> Document Retention before </w:t>
      </w:r>
      <w:proofErr w:type="spellStart"/>
      <w:r w:rsidRPr="00F6586C">
        <w:rPr>
          <w:b/>
          <w:bCs/>
          <w:u w:val="single"/>
        </w:rPr>
        <w:t>eProcess</w:t>
      </w:r>
      <w:proofErr w:type="spellEnd"/>
      <w:r w:rsidRPr="00F6586C">
        <w:rPr>
          <w:b/>
          <w:bCs/>
          <w:u w:val="single"/>
        </w:rPr>
        <w:t xml:space="preserve"> Agreement </w:t>
      </w:r>
    </w:p>
    <w:p w:rsidR="00C558BE" w:rsidRPr="00AF5F8B" w:rsidRDefault="00C558BE" w:rsidP="00C558BE">
      <w:pPr>
        <w:pStyle w:val="Default"/>
        <w:rPr>
          <w:sz w:val="22"/>
          <w:szCs w:val="22"/>
        </w:rPr>
      </w:pPr>
    </w:p>
    <w:p w:rsidR="00C558BE" w:rsidRDefault="00C558BE" w:rsidP="00C558BE">
      <w:pPr>
        <w:pStyle w:val="Default"/>
        <w:rPr>
          <w:sz w:val="22"/>
          <w:szCs w:val="22"/>
        </w:rPr>
      </w:pPr>
      <w:r>
        <w:rPr>
          <w:sz w:val="22"/>
          <w:szCs w:val="22"/>
        </w:rPr>
        <w:t xml:space="preserve">Recently, an issue arose where an agency was overpaid under </w:t>
      </w:r>
      <w:proofErr w:type="spellStart"/>
      <w:r>
        <w:rPr>
          <w:sz w:val="22"/>
          <w:szCs w:val="22"/>
        </w:rPr>
        <w:t>eProcess</w:t>
      </w:r>
      <w:proofErr w:type="spellEnd"/>
      <w:r>
        <w:rPr>
          <w:sz w:val="22"/>
          <w:szCs w:val="22"/>
        </w:rPr>
        <w:t xml:space="preserve"> and SSA had to recover the overpayment. The VREN agreement does not nullify SSA’s right to recover an overpayment. The agreement was really about whether agencies were going to keep the Ticket case open and receive VR payments on that Ticket while providing ongoing support. This VREN agreement is not comprehensive and does not cover all the rules for operating as a VREN. </w:t>
      </w:r>
    </w:p>
    <w:p w:rsidR="00C558BE" w:rsidRDefault="00C558BE" w:rsidP="00C558BE">
      <w:pPr>
        <w:pStyle w:val="Default"/>
        <w:rPr>
          <w:sz w:val="22"/>
          <w:szCs w:val="22"/>
        </w:rPr>
      </w:pPr>
    </w:p>
    <w:p w:rsidR="00C558BE" w:rsidRDefault="00C558BE" w:rsidP="00C558BE">
      <w:pPr>
        <w:pStyle w:val="Default"/>
        <w:rPr>
          <w:sz w:val="22"/>
          <w:szCs w:val="22"/>
        </w:rPr>
      </w:pPr>
      <w:r>
        <w:rPr>
          <w:sz w:val="22"/>
          <w:szCs w:val="22"/>
        </w:rPr>
        <w:t xml:space="preserve">Document retention before the </w:t>
      </w:r>
      <w:proofErr w:type="spellStart"/>
      <w:r>
        <w:rPr>
          <w:sz w:val="22"/>
          <w:szCs w:val="22"/>
        </w:rPr>
        <w:t>eProcess</w:t>
      </w:r>
      <w:proofErr w:type="spellEnd"/>
      <w:r>
        <w:rPr>
          <w:sz w:val="22"/>
          <w:szCs w:val="22"/>
        </w:rPr>
        <w:t xml:space="preserve"> agreement: As SSA is undergoing an audit, they have requested documentation on some claims paid in FY ’13 and ’14. In some cases, the VRs no longer had the related documents available. SSA has requested that VRs retain that information for future reference. </w:t>
      </w:r>
    </w:p>
    <w:p w:rsidR="00C558BE" w:rsidRDefault="00C558BE" w:rsidP="00C558BE">
      <w:pPr>
        <w:pStyle w:val="Default"/>
        <w:rPr>
          <w:sz w:val="22"/>
          <w:szCs w:val="22"/>
        </w:rPr>
      </w:pPr>
    </w:p>
    <w:p w:rsidR="00C558BE" w:rsidRDefault="00C558BE" w:rsidP="00C558BE">
      <w:pPr>
        <w:pStyle w:val="Default"/>
        <w:rPr>
          <w:sz w:val="22"/>
          <w:szCs w:val="22"/>
        </w:rPr>
      </w:pPr>
      <w:r>
        <w:rPr>
          <w:b/>
          <w:sz w:val="22"/>
          <w:szCs w:val="22"/>
        </w:rPr>
        <w:t>Follow-Up</w:t>
      </w:r>
      <w:r>
        <w:rPr>
          <w:sz w:val="22"/>
          <w:szCs w:val="22"/>
        </w:rPr>
        <w:t xml:space="preserve">: </w:t>
      </w:r>
    </w:p>
    <w:p w:rsidR="00C558BE" w:rsidRDefault="00C558BE" w:rsidP="00C558BE">
      <w:pPr>
        <w:pStyle w:val="Default"/>
        <w:numPr>
          <w:ilvl w:val="0"/>
          <w:numId w:val="33"/>
        </w:numPr>
        <w:rPr>
          <w:sz w:val="22"/>
          <w:szCs w:val="22"/>
        </w:rPr>
      </w:pPr>
      <w:r>
        <w:rPr>
          <w:sz w:val="22"/>
          <w:szCs w:val="22"/>
        </w:rPr>
        <w:t>Retention policy as it applies to VRENs.</w:t>
      </w:r>
    </w:p>
    <w:p w:rsidR="00C558BE" w:rsidRDefault="00C558BE" w:rsidP="00C558BE">
      <w:pPr>
        <w:pStyle w:val="Default"/>
        <w:numPr>
          <w:ilvl w:val="0"/>
          <w:numId w:val="33"/>
        </w:numPr>
        <w:rPr>
          <w:sz w:val="22"/>
          <w:szCs w:val="22"/>
        </w:rPr>
      </w:pPr>
      <w:r>
        <w:rPr>
          <w:sz w:val="22"/>
          <w:szCs w:val="22"/>
        </w:rPr>
        <w:t>The 90 day rule.</w:t>
      </w:r>
    </w:p>
    <w:p w:rsidR="00C558BE" w:rsidRDefault="00C558BE" w:rsidP="00C558BE">
      <w:pPr>
        <w:pStyle w:val="Default"/>
        <w:rPr>
          <w:sz w:val="22"/>
          <w:szCs w:val="22"/>
        </w:rPr>
      </w:pPr>
    </w:p>
    <w:p w:rsidR="00C558BE" w:rsidRDefault="00C558BE" w:rsidP="00C558BE">
      <w:pPr>
        <w:pStyle w:val="Photo"/>
        <w:spacing w:after="0"/>
        <w:jc w:val="left"/>
        <w:rPr>
          <w:rFonts w:cs="Arial"/>
          <w:b/>
          <w:bCs/>
          <w:sz w:val="24"/>
          <w:szCs w:val="24"/>
          <w:u w:val="single"/>
        </w:rPr>
      </w:pPr>
      <w:r>
        <w:rPr>
          <w:rFonts w:cs="Arial"/>
          <w:b/>
          <w:bCs/>
          <w:sz w:val="24"/>
          <w:szCs w:val="24"/>
          <w:u w:val="single"/>
        </w:rPr>
        <w:t>Attendance</w:t>
      </w:r>
    </w:p>
    <w:p w:rsidR="00C558BE" w:rsidRDefault="00C558BE" w:rsidP="00C558BE">
      <w:pPr>
        <w:pStyle w:val="Photo"/>
        <w:spacing w:after="0"/>
        <w:jc w:val="left"/>
        <w:rPr>
          <w:rFonts w:cs="Arial"/>
          <w:bCs/>
          <w:sz w:val="24"/>
          <w:szCs w:val="24"/>
        </w:rPr>
      </w:pPr>
      <w:r>
        <w:rPr>
          <w:rFonts w:cs="Arial"/>
          <w:bCs/>
          <w:sz w:val="24"/>
          <w:szCs w:val="24"/>
        </w:rPr>
        <w:br/>
      </w:r>
      <w:r w:rsidRPr="00BB6403">
        <w:rPr>
          <w:rFonts w:cs="Arial"/>
          <w:bCs/>
          <w:i/>
          <w:sz w:val="24"/>
          <w:szCs w:val="24"/>
        </w:rPr>
        <w:t>Present</w:t>
      </w:r>
      <w:r>
        <w:rPr>
          <w:rFonts w:cs="Arial"/>
          <w:bCs/>
          <w:sz w:val="24"/>
          <w:szCs w:val="24"/>
        </w:rPr>
        <w:t>: Florida, Illinois, Oregon, South Dakota, and Virginia.</w:t>
      </w:r>
    </w:p>
    <w:p w:rsidR="00C558BE" w:rsidRPr="00C558BE" w:rsidRDefault="00C558BE" w:rsidP="00C558BE">
      <w:pPr>
        <w:pStyle w:val="Photo"/>
        <w:spacing w:after="0"/>
        <w:jc w:val="left"/>
        <w:rPr>
          <w:rFonts w:cs="Arial"/>
          <w:b/>
          <w:bCs/>
          <w:sz w:val="24"/>
          <w:szCs w:val="24"/>
          <w:u w:val="single"/>
        </w:rPr>
      </w:pPr>
      <w:r w:rsidRPr="00BB6403">
        <w:rPr>
          <w:rFonts w:cs="Arial"/>
          <w:bCs/>
          <w:i/>
          <w:sz w:val="24"/>
          <w:szCs w:val="24"/>
        </w:rPr>
        <w:t>Not Present</w:t>
      </w:r>
      <w:r>
        <w:rPr>
          <w:rFonts w:cs="Arial"/>
          <w:bCs/>
          <w:sz w:val="24"/>
          <w:szCs w:val="24"/>
        </w:rPr>
        <w:t>: Massachusetts, Georgia, Mississippi, New Hampshire, Vermont, South Carolina, Kentucky, Indiana, and Oregon (Blind).</w:t>
      </w:r>
      <w:r>
        <w:rPr>
          <w:rFonts w:cs="Arial"/>
          <w:b/>
          <w:bCs/>
          <w:sz w:val="24"/>
          <w:szCs w:val="24"/>
        </w:rPr>
        <w:t xml:space="preserve"> </w:t>
      </w:r>
      <w:r w:rsidRPr="00B41104">
        <w:rPr>
          <w:noProof/>
        </w:rPr>
        <mc:AlternateContent>
          <mc:Choice Requires="wps">
            <w:drawing>
              <wp:anchor distT="45720" distB="45720" distL="114300" distR="114300" simplePos="0" relativeHeight="251659264" behindDoc="0" locked="0" layoutInCell="1" allowOverlap="1" wp14:anchorId="0915B612" wp14:editId="20F67734">
                <wp:simplePos x="0" y="0"/>
                <wp:positionH relativeFrom="margin">
                  <wp:posOffset>-390525</wp:posOffset>
                </wp:positionH>
                <wp:positionV relativeFrom="page">
                  <wp:posOffset>8181975</wp:posOffset>
                </wp:positionV>
                <wp:extent cx="5924550" cy="1095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95375"/>
                        </a:xfrm>
                        <a:prstGeom prst="rect">
                          <a:avLst/>
                        </a:prstGeom>
                        <a:solidFill>
                          <a:schemeClr val="accent1">
                            <a:lumMod val="20000"/>
                            <a:lumOff val="80000"/>
                          </a:schemeClr>
                        </a:solidFill>
                        <a:ln w="9525">
                          <a:noFill/>
                          <a:miter lim="800000"/>
                          <a:headEnd/>
                          <a:tailEnd/>
                        </a:ln>
                      </wps:spPr>
                      <wps:txbx>
                        <w:txbxContent>
                          <w:p w:rsidR="00B41104" w:rsidRPr="00B41104" w:rsidRDefault="00B41104" w:rsidP="00B41104">
                            <w:pPr>
                              <w:spacing w:after="200" w:line="276" w:lineRule="auto"/>
                              <w:contextualSpacing/>
                              <w:jc w:val="center"/>
                              <w:rPr>
                                <w:rFonts w:ascii="Arial" w:eastAsia="Times New Roman" w:hAnsi="Arial" w:cs="Arial"/>
                                <w:bCs/>
                                <w:sz w:val="10"/>
                                <w:szCs w:val="22"/>
                              </w:rPr>
                            </w:pPr>
                          </w:p>
                          <w:p w:rsidR="00B41104" w:rsidRPr="00B41104" w:rsidRDefault="00B41104" w:rsidP="00B41104">
                            <w:pPr>
                              <w:spacing w:after="200" w:line="276" w:lineRule="auto"/>
                              <w:contextualSpacing/>
                              <w:jc w:val="center"/>
                              <w:rPr>
                                <w:rFonts w:ascii="Arial" w:eastAsia="Times New Roman" w:hAnsi="Arial" w:cs="Arial"/>
                                <w:sz w:val="20"/>
                                <w:szCs w:val="22"/>
                              </w:rPr>
                            </w:pPr>
                            <w:r w:rsidRPr="00B41104">
                              <w:rPr>
                                <w:rFonts w:ascii="Arial" w:eastAsia="Times New Roman" w:hAnsi="Arial" w:cs="Arial"/>
                                <w:bCs/>
                                <w:sz w:val="20"/>
                                <w:szCs w:val="22"/>
                              </w:rPr>
                              <w:t>The full transcript and audio from the All VR</w:t>
                            </w:r>
                            <w:r w:rsidR="00C558BE">
                              <w:rPr>
                                <w:rFonts w:ascii="Arial" w:eastAsia="Times New Roman" w:hAnsi="Arial" w:cs="Arial"/>
                                <w:bCs/>
                                <w:sz w:val="20"/>
                                <w:szCs w:val="22"/>
                              </w:rPr>
                              <w:t>/EN</w:t>
                            </w:r>
                            <w:r w:rsidRPr="00B41104">
                              <w:rPr>
                                <w:rFonts w:ascii="Arial" w:eastAsia="Times New Roman" w:hAnsi="Arial" w:cs="Arial"/>
                                <w:bCs/>
                                <w:sz w:val="20"/>
                                <w:szCs w:val="22"/>
                              </w:rPr>
                              <w:t xml:space="preserve"> Call are available at </w:t>
                            </w:r>
                            <w:hyperlink r:id="rId9" w:history="1">
                              <w:r w:rsidRPr="00B41104">
                                <w:rPr>
                                  <w:rFonts w:ascii="Arial" w:eastAsia="Times New Roman" w:hAnsi="Arial" w:cs="Arial"/>
                                  <w:bCs/>
                                  <w:color w:val="0000FF"/>
                                  <w:sz w:val="20"/>
                                  <w:szCs w:val="22"/>
                                  <w:u w:val="single"/>
                                </w:rPr>
                                <w:t>https://yourtickettowork.com/web/ttw/events-archive</w:t>
                              </w:r>
                            </w:hyperlink>
                            <w:r w:rsidRPr="00B41104">
                              <w:rPr>
                                <w:rFonts w:ascii="Arial" w:eastAsia="Times New Roman" w:hAnsi="Arial" w:cs="Arial"/>
                                <w:bCs/>
                                <w:sz w:val="20"/>
                                <w:szCs w:val="22"/>
                              </w:rPr>
                              <w:t>.</w:t>
                            </w:r>
                          </w:p>
                          <w:p w:rsidR="00B41104" w:rsidRDefault="00B41104" w:rsidP="00B41104">
                            <w:pPr>
                              <w:spacing w:after="200" w:line="276" w:lineRule="auto"/>
                              <w:contextualSpacing/>
                              <w:jc w:val="center"/>
                              <w:rPr>
                                <w:rFonts w:ascii="Arial" w:eastAsia="Times New Roman" w:hAnsi="Arial" w:cs="Arial"/>
                                <w:sz w:val="20"/>
                                <w:szCs w:val="22"/>
                              </w:rPr>
                            </w:pPr>
                          </w:p>
                          <w:p w:rsidR="00B41104" w:rsidRPr="00B41104" w:rsidRDefault="00B41104" w:rsidP="00B41104">
                            <w:pPr>
                              <w:spacing w:after="200" w:line="276" w:lineRule="auto"/>
                              <w:contextualSpacing/>
                              <w:jc w:val="center"/>
                              <w:rPr>
                                <w:rFonts w:ascii="Arial" w:eastAsia="Times New Roman" w:hAnsi="Arial" w:cs="Arial"/>
                                <w:sz w:val="20"/>
                                <w:szCs w:val="22"/>
                              </w:rPr>
                            </w:pPr>
                            <w:r w:rsidRPr="00B41104">
                              <w:rPr>
                                <w:rFonts w:ascii="Arial" w:eastAsia="Times New Roman" w:hAnsi="Arial" w:cs="Arial"/>
                                <w:sz w:val="20"/>
                                <w:szCs w:val="22"/>
                              </w:rPr>
                              <w:t xml:space="preserve">The next All VR Call will be held </w:t>
                            </w:r>
                            <w:r w:rsidR="00C558BE">
                              <w:rPr>
                                <w:rFonts w:ascii="Arial" w:eastAsia="Times New Roman" w:hAnsi="Arial" w:cs="Arial"/>
                                <w:b/>
                                <w:sz w:val="20"/>
                                <w:szCs w:val="22"/>
                              </w:rPr>
                              <w:t>Wednesday, July 29</w:t>
                            </w:r>
                            <w:r w:rsidRPr="00B41104">
                              <w:rPr>
                                <w:rFonts w:ascii="Arial" w:eastAsia="Times New Roman" w:hAnsi="Arial" w:cs="Arial"/>
                                <w:b/>
                                <w:sz w:val="20"/>
                                <w:szCs w:val="22"/>
                              </w:rPr>
                              <w:t>, at 3 pm ET</w:t>
                            </w:r>
                            <w:r w:rsidRPr="00B41104">
                              <w:rPr>
                                <w:rFonts w:ascii="Arial" w:eastAsia="Times New Roman" w:hAnsi="Arial" w:cs="Arial"/>
                                <w:sz w:val="20"/>
                                <w:szCs w:val="22"/>
                              </w:rPr>
                              <w:t>. Join us to get the latest updates on everything related to Employment Networks in the Ticket to Work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5B612" id="_x0000_t202" coordsize="21600,21600" o:spt="202" path="m,l,21600r21600,l21600,xe">
                <v:stroke joinstyle="miter"/>
                <v:path gradientshapeok="t" o:connecttype="rect"/>
              </v:shapetype>
              <v:shape id="Text Box 2" o:spid="_x0000_s1026" type="#_x0000_t202" style="position:absolute;margin-left:-30.75pt;margin-top:644.25pt;width:466.5pt;height:8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" fillcolor="#dbe5f1 [660]" stroked="f">
                <v:textbox>
                  <w:txbxContent>
                    <w:p w:rsidR="00B41104" w:rsidRPr="00B41104" w:rsidRDefault="00B41104" w:rsidP="00B41104">
                      <w:pPr>
                        <w:spacing w:after="200" w:line="276" w:lineRule="auto"/>
                        <w:contextualSpacing/>
                        <w:jc w:val="center"/>
                        <w:rPr>
                          <w:rFonts w:ascii="Arial" w:eastAsia="Times New Roman" w:hAnsi="Arial" w:cs="Arial"/>
                          <w:bCs/>
                          <w:sz w:val="10"/>
                          <w:szCs w:val="22"/>
                        </w:rPr>
                      </w:pPr>
                    </w:p>
                    <w:p w:rsidR="00B41104" w:rsidRPr="00B41104" w:rsidRDefault="00B41104" w:rsidP="00B41104">
                      <w:pPr>
                        <w:spacing w:after="200" w:line="276" w:lineRule="auto"/>
                        <w:contextualSpacing/>
                        <w:jc w:val="center"/>
                        <w:rPr>
                          <w:rFonts w:ascii="Arial" w:eastAsia="Times New Roman" w:hAnsi="Arial" w:cs="Arial"/>
                          <w:sz w:val="20"/>
                          <w:szCs w:val="22"/>
                        </w:rPr>
                      </w:pPr>
                      <w:r w:rsidRPr="00B41104">
                        <w:rPr>
                          <w:rFonts w:ascii="Arial" w:eastAsia="Times New Roman" w:hAnsi="Arial" w:cs="Arial"/>
                          <w:bCs/>
                          <w:sz w:val="20"/>
                          <w:szCs w:val="22"/>
                        </w:rPr>
                        <w:t>The full transcript and audio from the All VR</w:t>
                      </w:r>
                      <w:r w:rsidR="00C558BE">
                        <w:rPr>
                          <w:rFonts w:ascii="Arial" w:eastAsia="Times New Roman" w:hAnsi="Arial" w:cs="Arial"/>
                          <w:bCs/>
                          <w:sz w:val="20"/>
                          <w:szCs w:val="22"/>
                        </w:rPr>
                        <w:t>/EN</w:t>
                      </w:r>
                      <w:r w:rsidRPr="00B41104">
                        <w:rPr>
                          <w:rFonts w:ascii="Arial" w:eastAsia="Times New Roman" w:hAnsi="Arial" w:cs="Arial"/>
                          <w:bCs/>
                          <w:sz w:val="20"/>
                          <w:szCs w:val="22"/>
                        </w:rPr>
                        <w:t xml:space="preserve"> Call are available at </w:t>
                      </w:r>
                      <w:hyperlink r:id="rId10" w:history="1">
                        <w:r w:rsidRPr="00B41104">
                          <w:rPr>
                            <w:rFonts w:ascii="Arial" w:eastAsia="Times New Roman" w:hAnsi="Arial" w:cs="Arial"/>
                            <w:bCs/>
                            <w:color w:val="0000FF"/>
                            <w:sz w:val="20"/>
                            <w:szCs w:val="22"/>
                            <w:u w:val="single"/>
                          </w:rPr>
                          <w:t>https://yourtickettowork.com/web/ttw/events-archive</w:t>
                        </w:r>
                      </w:hyperlink>
                      <w:r w:rsidRPr="00B41104">
                        <w:rPr>
                          <w:rFonts w:ascii="Arial" w:eastAsia="Times New Roman" w:hAnsi="Arial" w:cs="Arial"/>
                          <w:bCs/>
                          <w:sz w:val="20"/>
                          <w:szCs w:val="22"/>
                        </w:rPr>
                        <w:t>.</w:t>
                      </w:r>
                    </w:p>
                    <w:p w:rsidR="00B41104" w:rsidRDefault="00B41104" w:rsidP="00B41104">
                      <w:pPr>
                        <w:spacing w:after="200" w:line="276" w:lineRule="auto"/>
                        <w:contextualSpacing/>
                        <w:jc w:val="center"/>
                        <w:rPr>
                          <w:rFonts w:ascii="Arial" w:eastAsia="Times New Roman" w:hAnsi="Arial" w:cs="Arial"/>
                          <w:sz w:val="20"/>
                          <w:szCs w:val="22"/>
                        </w:rPr>
                      </w:pPr>
                    </w:p>
                    <w:p w:rsidR="00B41104" w:rsidRPr="00B41104" w:rsidRDefault="00B41104" w:rsidP="00B41104">
                      <w:pPr>
                        <w:spacing w:after="200" w:line="276" w:lineRule="auto"/>
                        <w:contextualSpacing/>
                        <w:jc w:val="center"/>
                        <w:rPr>
                          <w:rFonts w:ascii="Arial" w:eastAsia="Times New Roman" w:hAnsi="Arial" w:cs="Arial"/>
                          <w:sz w:val="20"/>
                          <w:szCs w:val="22"/>
                        </w:rPr>
                      </w:pPr>
                      <w:r w:rsidRPr="00B41104">
                        <w:rPr>
                          <w:rFonts w:ascii="Arial" w:eastAsia="Times New Roman" w:hAnsi="Arial" w:cs="Arial"/>
                          <w:sz w:val="20"/>
                          <w:szCs w:val="22"/>
                        </w:rPr>
                        <w:t xml:space="preserve">The next All VR Call will be held </w:t>
                      </w:r>
                      <w:r w:rsidR="00C558BE">
                        <w:rPr>
                          <w:rFonts w:ascii="Arial" w:eastAsia="Times New Roman" w:hAnsi="Arial" w:cs="Arial"/>
                          <w:b/>
                          <w:sz w:val="20"/>
                          <w:szCs w:val="22"/>
                        </w:rPr>
                        <w:t>Wednesday, July 29</w:t>
                      </w:r>
                      <w:r w:rsidRPr="00B41104">
                        <w:rPr>
                          <w:rFonts w:ascii="Arial" w:eastAsia="Times New Roman" w:hAnsi="Arial" w:cs="Arial"/>
                          <w:b/>
                          <w:sz w:val="20"/>
                          <w:szCs w:val="22"/>
                        </w:rPr>
                        <w:t>, at 3 pm ET</w:t>
                      </w:r>
                      <w:r w:rsidRPr="00B41104">
                        <w:rPr>
                          <w:rFonts w:ascii="Arial" w:eastAsia="Times New Roman" w:hAnsi="Arial" w:cs="Arial"/>
                          <w:sz w:val="20"/>
                          <w:szCs w:val="22"/>
                        </w:rPr>
                        <w:t>. Join us to get the latest updates on everything related to Employment Networks in the Ticket to Work Program.</w:t>
                      </w:r>
                    </w:p>
                  </w:txbxContent>
                </v:textbox>
                <w10:wrap type="square" anchorx="margin" anchory="page"/>
              </v:shape>
            </w:pict>
          </mc:Fallback>
        </mc:AlternateContent>
      </w:r>
      <w:r w:rsidRPr="00653028">
        <w:rPr>
          <w:b/>
        </w:rPr>
        <w:t xml:space="preserve"> </w:t>
      </w:r>
    </w:p>
    <w:p w:rsidR="00B41104" w:rsidRDefault="00B41104" w:rsidP="00C558BE">
      <w:pPr>
        <w:rPr>
          <w:rFonts w:ascii="Arial" w:eastAsia="Times New Roman" w:hAnsi="Arial" w:cs="Arial"/>
          <w:bCs/>
          <w:sz w:val="21"/>
          <w:szCs w:val="21"/>
        </w:rPr>
      </w:pPr>
    </w:p>
    <w:p w:rsidR="00C558BE" w:rsidRDefault="00C558BE" w:rsidP="00C558BE">
      <w:pPr>
        <w:rPr>
          <w:rFonts w:ascii="Arial" w:eastAsia="Times New Roman" w:hAnsi="Arial" w:cs="Arial"/>
          <w:bCs/>
          <w:sz w:val="21"/>
          <w:szCs w:val="21"/>
        </w:rPr>
      </w:pPr>
    </w:p>
    <w:p w:rsidR="00C558BE" w:rsidRDefault="00C558BE" w:rsidP="00C558BE">
      <w:pPr>
        <w:rPr>
          <w:rFonts w:ascii="Arial" w:eastAsia="Times New Roman" w:hAnsi="Arial" w:cs="Arial"/>
          <w:bCs/>
          <w:sz w:val="21"/>
          <w:szCs w:val="21"/>
        </w:rPr>
      </w:pPr>
    </w:p>
    <w:p w:rsidR="00C558BE" w:rsidRDefault="00C558BE" w:rsidP="00C558BE">
      <w:pPr>
        <w:rPr>
          <w:rFonts w:ascii="Arial" w:eastAsia="Times New Roman" w:hAnsi="Arial" w:cs="Arial"/>
          <w:bCs/>
          <w:sz w:val="21"/>
          <w:szCs w:val="21"/>
        </w:rPr>
      </w:pPr>
    </w:p>
    <w:p w:rsidR="00C558BE" w:rsidRDefault="00C558BE" w:rsidP="00C558BE">
      <w:pPr>
        <w:rPr>
          <w:rFonts w:ascii="Arial" w:eastAsia="Times New Roman" w:hAnsi="Arial" w:cs="Arial"/>
          <w:bCs/>
          <w:sz w:val="21"/>
          <w:szCs w:val="21"/>
        </w:rPr>
      </w:pPr>
    </w:p>
    <w:p w:rsidR="00C558BE" w:rsidRDefault="00C558BE" w:rsidP="00C558BE">
      <w:pPr>
        <w:rPr>
          <w:rFonts w:ascii="Arial" w:eastAsia="Times New Roman" w:hAnsi="Arial" w:cs="Arial"/>
          <w:bCs/>
          <w:sz w:val="21"/>
          <w:szCs w:val="21"/>
        </w:rPr>
      </w:pPr>
    </w:p>
    <w:p w:rsidR="00C558BE" w:rsidRDefault="00C558BE" w:rsidP="00C558BE">
      <w:pPr>
        <w:rPr>
          <w:rFonts w:ascii="Arial" w:eastAsia="Times New Roman" w:hAnsi="Arial" w:cs="Arial"/>
          <w:bCs/>
          <w:sz w:val="21"/>
          <w:szCs w:val="21"/>
        </w:rPr>
      </w:pPr>
    </w:p>
    <w:p w:rsidR="00C558BE" w:rsidRDefault="00C558BE" w:rsidP="00C558BE">
      <w:pPr>
        <w:rPr>
          <w:rFonts w:ascii="Arial" w:eastAsia="Times New Roman" w:hAnsi="Arial" w:cs="Arial"/>
          <w:bCs/>
          <w:sz w:val="21"/>
          <w:szCs w:val="21"/>
        </w:rPr>
      </w:pPr>
    </w:p>
    <w:p w:rsidR="00C558BE" w:rsidRDefault="00C558BE" w:rsidP="00C558BE">
      <w:pPr>
        <w:rPr>
          <w:rFonts w:ascii="Arial" w:eastAsia="Times New Roman" w:hAnsi="Arial" w:cs="Arial"/>
          <w:bCs/>
          <w:sz w:val="21"/>
          <w:szCs w:val="21"/>
        </w:rPr>
      </w:pPr>
    </w:p>
    <w:p w:rsidR="00C558BE" w:rsidRDefault="00C558BE" w:rsidP="00C558BE">
      <w:pPr>
        <w:rPr>
          <w:rFonts w:ascii="Arial" w:eastAsia="Times New Roman" w:hAnsi="Arial" w:cs="Arial"/>
          <w:bCs/>
          <w:sz w:val="21"/>
          <w:szCs w:val="21"/>
        </w:rPr>
      </w:pPr>
    </w:p>
    <w:p w:rsidR="00C558BE" w:rsidRDefault="00C558BE" w:rsidP="00C558BE">
      <w:pPr>
        <w:pStyle w:val="Photo"/>
        <w:spacing w:after="0"/>
        <w:jc w:val="left"/>
        <w:rPr>
          <w:rFonts w:cs="Arial"/>
          <w:b/>
          <w:bCs/>
          <w:sz w:val="24"/>
          <w:szCs w:val="24"/>
          <w:u w:val="single"/>
        </w:rPr>
      </w:pPr>
      <w:r>
        <w:rPr>
          <w:rFonts w:cs="Arial"/>
          <w:b/>
          <w:bCs/>
          <w:sz w:val="24"/>
          <w:szCs w:val="24"/>
          <w:u w:val="single"/>
        </w:rPr>
        <w:t>Questions and Answers</w:t>
      </w:r>
    </w:p>
    <w:p w:rsidR="00C558BE" w:rsidRDefault="00C558BE" w:rsidP="00C558BE">
      <w:pPr>
        <w:pStyle w:val="Photo"/>
        <w:spacing w:after="0"/>
        <w:jc w:val="left"/>
        <w:rPr>
          <w:rFonts w:cs="Arial"/>
          <w:b/>
          <w:bCs/>
          <w:sz w:val="24"/>
          <w:szCs w:val="24"/>
          <w:u w:val="single"/>
        </w:rPr>
      </w:pPr>
    </w:p>
    <w:p w:rsidR="00C558BE" w:rsidRDefault="00C558BE" w:rsidP="00C558BE">
      <w:r>
        <w:rPr>
          <w:rFonts w:cs="Arial"/>
          <w:b/>
          <w:bCs/>
          <w:i/>
        </w:rPr>
        <w:t>Q:</w:t>
      </w:r>
      <w:r w:rsidRPr="00DA558E">
        <w:rPr>
          <w:rFonts w:cs="Arial"/>
          <w:b/>
          <w:bCs/>
          <w:i/>
        </w:rPr>
        <w:t xml:space="preserve"> </w:t>
      </w:r>
      <w:r w:rsidRPr="00DA558E">
        <w:rPr>
          <w:b/>
          <w:i/>
        </w:rPr>
        <w:t>We start getting payments come in and I’m not sure when they’ve been processed. I am then asked by other people here do we have all our payments in for this quarter, but I just have to wait and keep checking the EN payment status report to see if any new ones are there and then expect the paper files. Is there a good way to alert us when they’re all done coming in?</w:t>
      </w:r>
    </w:p>
    <w:p w:rsidR="00C558BE" w:rsidRDefault="00C558BE" w:rsidP="00C558BE">
      <w:pPr>
        <w:pStyle w:val="Photo"/>
        <w:spacing w:after="0"/>
        <w:jc w:val="left"/>
        <w:rPr>
          <w:rFonts w:cs="Arial"/>
          <w:bCs/>
          <w:sz w:val="24"/>
          <w:szCs w:val="24"/>
        </w:rPr>
      </w:pPr>
      <w:r>
        <w:rPr>
          <w:rFonts w:cs="Arial"/>
          <w:b/>
          <w:bCs/>
          <w:sz w:val="24"/>
          <w:szCs w:val="24"/>
        </w:rPr>
        <w:t xml:space="preserve">A: </w:t>
      </w:r>
      <w:r>
        <w:rPr>
          <w:rFonts w:cs="Arial"/>
          <w:bCs/>
          <w:sz w:val="24"/>
          <w:szCs w:val="24"/>
        </w:rPr>
        <w:t>No, the only way is by checking the EN payment status report.</w:t>
      </w:r>
    </w:p>
    <w:p w:rsidR="00C558BE" w:rsidRDefault="00C558BE" w:rsidP="00C558BE">
      <w:pPr>
        <w:pStyle w:val="Photo"/>
        <w:spacing w:after="0"/>
        <w:jc w:val="left"/>
        <w:rPr>
          <w:rFonts w:cs="Arial"/>
          <w:bCs/>
          <w:sz w:val="24"/>
          <w:szCs w:val="24"/>
        </w:rPr>
      </w:pPr>
    </w:p>
    <w:p w:rsidR="00C558BE" w:rsidRDefault="00C558BE" w:rsidP="00C558BE">
      <w:pPr>
        <w:pStyle w:val="Photo"/>
        <w:spacing w:after="0"/>
        <w:jc w:val="left"/>
        <w:rPr>
          <w:i/>
        </w:rPr>
      </w:pPr>
      <w:r>
        <w:rPr>
          <w:rFonts w:cs="Arial"/>
          <w:b/>
          <w:bCs/>
          <w:i/>
          <w:sz w:val="24"/>
          <w:szCs w:val="24"/>
        </w:rPr>
        <w:t xml:space="preserve">Q: </w:t>
      </w:r>
      <w:r w:rsidRPr="00DA558E">
        <w:rPr>
          <w:b/>
          <w:i/>
        </w:rPr>
        <w:t>Did you say it was Maryland that has the retention documentation on file?</w:t>
      </w:r>
    </w:p>
    <w:p w:rsidR="00C558BE" w:rsidRDefault="00C558BE" w:rsidP="00C558BE">
      <w:pPr>
        <w:pStyle w:val="Photo"/>
        <w:spacing w:after="0"/>
        <w:jc w:val="left"/>
      </w:pPr>
      <w:r>
        <w:rPr>
          <w:b/>
        </w:rPr>
        <w:br/>
        <w:t xml:space="preserve">A: </w:t>
      </w:r>
      <w:r>
        <w:t>Yes, we did receive something from Maryland on this.</w:t>
      </w:r>
    </w:p>
    <w:p w:rsidR="00C558BE" w:rsidRDefault="00C558BE" w:rsidP="00C558BE">
      <w:pPr>
        <w:pStyle w:val="Photo"/>
        <w:spacing w:after="0"/>
        <w:jc w:val="left"/>
      </w:pPr>
    </w:p>
    <w:p w:rsidR="00C558BE" w:rsidRDefault="00C558BE" w:rsidP="00C558BE">
      <w:pPr>
        <w:pStyle w:val="Default"/>
        <w:rPr>
          <w:rFonts w:eastAsia="Arial"/>
          <w:b/>
          <w:bCs/>
          <w:i/>
          <w:color w:val="262626"/>
        </w:rPr>
      </w:pPr>
      <w:r>
        <w:rPr>
          <w:rFonts w:eastAsia="Arial"/>
          <w:b/>
          <w:bCs/>
          <w:i/>
          <w:color w:val="262626"/>
        </w:rPr>
        <w:t>Q: Is the Beneficiary CD still being sent out?</w:t>
      </w:r>
      <w:r>
        <w:rPr>
          <w:rFonts w:eastAsia="Arial"/>
          <w:b/>
          <w:bCs/>
          <w:i/>
          <w:color w:val="262626"/>
        </w:rPr>
        <w:br/>
      </w:r>
    </w:p>
    <w:p w:rsidR="00C558BE" w:rsidRDefault="00C558BE" w:rsidP="00C558BE">
      <w:pPr>
        <w:pStyle w:val="Default"/>
      </w:pPr>
      <w:r>
        <w:rPr>
          <w:rFonts w:eastAsia="Arial"/>
          <w:b/>
          <w:bCs/>
          <w:color w:val="262626"/>
        </w:rPr>
        <w:t xml:space="preserve">A: </w:t>
      </w:r>
      <w:r>
        <w:t>No it is not currently being sent out but we are exploring other avenues to share marketing information.</w:t>
      </w:r>
    </w:p>
    <w:p w:rsidR="00C558BE" w:rsidRDefault="00C558BE" w:rsidP="00C558BE">
      <w:pPr>
        <w:pStyle w:val="Default"/>
        <w:rPr>
          <w:bCs/>
          <w:sz w:val="22"/>
          <w:szCs w:val="22"/>
        </w:rPr>
      </w:pPr>
    </w:p>
    <w:p w:rsidR="00C558BE" w:rsidRPr="00DA558E" w:rsidRDefault="00C558BE" w:rsidP="00C558BE">
      <w:pPr>
        <w:pStyle w:val="Default"/>
        <w:rPr>
          <w:b/>
          <w:bCs/>
          <w:i/>
        </w:rPr>
      </w:pPr>
      <w:r>
        <w:rPr>
          <w:b/>
          <w:bCs/>
          <w:i/>
          <w:sz w:val="22"/>
          <w:szCs w:val="22"/>
        </w:rPr>
        <w:t xml:space="preserve">Q: </w:t>
      </w:r>
      <w:r w:rsidRPr="00DA558E">
        <w:rPr>
          <w:b/>
          <w:bCs/>
          <w:i/>
        </w:rPr>
        <w:t xml:space="preserve">Is there any chance the 90 day rule would go away so at a later point we would be able to change a client from cost reimbursement to the Ticket? I’ve gone back to some Pilots we have tried and we can’t get our numbers up because of that rule. </w:t>
      </w:r>
    </w:p>
    <w:p w:rsidR="00C558BE" w:rsidRPr="00DA558E" w:rsidRDefault="00C558BE" w:rsidP="00C558BE">
      <w:pPr>
        <w:pStyle w:val="Default"/>
        <w:rPr>
          <w:bCs/>
          <w:sz w:val="22"/>
          <w:szCs w:val="22"/>
        </w:rPr>
      </w:pPr>
      <w:r>
        <w:rPr>
          <w:b/>
          <w:bCs/>
          <w:i/>
          <w:sz w:val="22"/>
          <w:szCs w:val="22"/>
        </w:rPr>
        <w:br/>
      </w:r>
      <w:r>
        <w:rPr>
          <w:b/>
          <w:bCs/>
          <w:sz w:val="22"/>
          <w:szCs w:val="22"/>
        </w:rPr>
        <w:t xml:space="preserve">A: </w:t>
      </w:r>
      <w:r>
        <w:rPr>
          <w:bCs/>
          <w:sz w:val="22"/>
          <w:szCs w:val="22"/>
        </w:rPr>
        <w:t>We can note this request.</w:t>
      </w:r>
    </w:p>
    <w:p w:rsidR="00C558BE" w:rsidRPr="00C558BE" w:rsidRDefault="00C558BE" w:rsidP="00C558BE">
      <w:pPr>
        <w:rPr>
          <w:rFonts w:ascii="Arial" w:eastAsia="Times New Roman" w:hAnsi="Arial" w:cs="Arial"/>
          <w:bCs/>
          <w:sz w:val="21"/>
          <w:szCs w:val="21"/>
        </w:rPr>
      </w:pPr>
    </w:p>
    <w:sectPr w:rsidR="00C558BE" w:rsidRPr="00C558BE" w:rsidSect="0075547D">
      <w:headerReference w:type="default" r:id="rId11"/>
      <w:footerReference w:type="default" r:id="rId12"/>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EA3" w:rsidRDefault="00AB5EA3" w:rsidP="000F55D3">
      <w:r>
        <w:separator/>
      </w:r>
    </w:p>
  </w:endnote>
  <w:endnote w:type="continuationSeparator" w:id="0">
    <w:p w:rsidR="00AB5EA3" w:rsidRDefault="00AB5EA3"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43" w:rsidRPr="009E1843" w:rsidRDefault="009E1843" w:rsidP="009E1843">
    <w:pPr>
      <w:pStyle w:val="Footer"/>
      <w:tabs>
        <w:tab w:val="clear" w:pos="9360"/>
      </w:tabs>
      <w:rPr>
        <w:rFonts w:ascii="Arial" w:hAnsi="Arial" w:cs="Arial"/>
        <w:b/>
        <w:sz w:val="20"/>
        <w:szCs w:val="20"/>
      </w:rPr>
    </w:pPr>
    <w:r w:rsidRPr="009E1843">
      <w:rPr>
        <w:rFonts w:ascii="Arial" w:hAnsi="Arial" w:cs="Arial"/>
        <w:sz w:val="20"/>
        <w:szCs w:val="20"/>
      </w:rPr>
      <w:t>Volume 0</w:t>
    </w:r>
    <w:r w:rsidR="00AF7E16">
      <w:rPr>
        <w:rFonts w:ascii="Arial" w:hAnsi="Arial" w:cs="Arial"/>
        <w:sz w:val="20"/>
        <w:szCs w:val="20"/>
      </w:rPr>
      <w:t>2 – April</w:t>
    </w:r>
    <w:r w:rsidRPr="009E1843">
      <w:rPr>
        <w:rFonts w:ascii="Arial" w:hAnsi="Arial" w:cs="Arial"/>
        <w:sz w:val="20"/>
        <w:szCs w:val="20"/>
      </w:rPr>
      <w:t xml:space="preserve"> 2015</w:t>
    </w:r>
    <w:r w:rsidRPr="009E1843">
      <w:rPr>
        <w:rFonts w:ascii="Arial" w:hAnsi="Arial" w:cs="Arial"/>
        <w:b/>
      </w:rPr>
      <w:tab/>
    </w:r>
    <w:r w:rsidR="00B5592B">
      <w:rPr>
        <w:rFonts w:ascii="Arial" w:hAnsi="Arial" w:cs="Arial"/>
        <w:b/>
      </w:rPr>
      <w:tab/>
    </w:r>
    <w:r w:rsidRPr="009E1843">
      <w:rPr>
        <w:rFonts w:ascii="Arial" w:hAnsi="Arial" w:cs="Arial"/>
        <w:b/>
      </w:rPr>
      <w:t xml:space="preserve"> </w:t>
    </w:r>
    <w:r w:rsidRPr="009E1843">
      <w:rPr>
        <w:rFonts w:ascii="Arial" w:hAnsi="Arial" w:cs="Arial"/>
        <w:sz w:val="20"/>
        <w:szCs w:val="20"/>
      </w:rPr>
      <w:t xml:space="preserve">Email: </w:t>
    </w:r>
    <w:r w:rsidR="0066263D">
      <w:rPr>
        <w:rFonts w:ascii="Arial" w:hAnsi="Arial" w:cs="Arial"/>
        <w:sz w:val="20"/>
        <w:szCs w:val="20"/>
      </w:rPr>
      <w:t>svrhelpdesk</w:t>
    </w:r>
    <w:r w:rsidRPr="009E1843">
      <w:rPr>
        <w:rFonts w:ascii="Arial" w:hAnsi="Arial" w:cs="Arial"/>
        <w:sz w:val="20"/>
        <w:szCs w:val="20"/>
      </w:rPr>
      <w:t>@yourtickettowork.com</w:t>
    </w:r>
  </w:p>
  <w:p w:rsidR="008D27B0" w:rsidRPr="009E1843" w:rsidRDefault="008D27B0" w:rsidP="009E1843">
    <w:pPr>
      <w:pStyle w:val="Footer"/>
      <w:tabs>
        <w:tab w:val="clear" w:pos="4680"/>
        <w:tab w:val="clear" w:pos="9360"/>
      </w:tabs>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EA3" w:rsidRDefault="00AB5EA3" w:rsidP="000F55D3">
      <w:r>
        <w:separator/>
      </w:r>
    </w:p>
  </w:footnote>
  <w:footnote w:type="continuationSeparator" w:id="0">
    <w:p w:rsidR="00AB5EA3" w:rsidRDefault="00AB5EA3"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B0" w:rsidRPr="00A8220D" w:rsidRDefault="00A328C6" w:rsidP="00841D90">
    <w:pPr>
      <w:keepNext/>
      <w:ind w:left="2880"/>
      <w:jc w:val="right"/>
      <w:outlineLvl w:val="3"/>
      <w:rPr>
        <w:rFonts w:ascii="Arial" w:eastAsia="Times New Roman" w:hAnsi="Arial" w:cs="Arial"/>
        <w:bCs/>
        <w:color w:val="000000"/>
      </w:rPr>
    </w:pPr>
    <w:r>
      <w:rPr>
        <w:rFonts w:ascii="Arial" w:eastAsia="Times New Roman" w:hAnsi="Arial" w:cs="Arial"/>
        <w:bCs/>
        <w:noProof/>
        <w:color w:val="000000"/>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-113665</wp:posOffset>
          </wp:positionV>
          <wp:extent cx="7772400" cy="879475"/>
          <wp:effectExtent l="19050" t="0" r="0" b="0"/>
          <wp:wrapNone/>
          <wp:docPr id="3" name="Picture 3"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srcRect t="3323" b="88715"/>
                  <a:stretch>
                    <a:fillRect/>
                  </a:stretch>
                </pic:blipFill>
                <pic:spPr bwMode="auto">
                  <a:xfrm>
                    <a:off x="0" y="0"/>
                    <a:ext cx="7772400" cy="879475"/>
                  </a:xfrm>
                  <a:prstGeom prst="rect">
                    <a:avLst/>
                  </a:prstGeom>
                  <a:noFill/>
                </pic:spPr>
              </pic:pic>
            </a:graphicData>
          </a:graphic>
        </wp:anchor>
      </w:drawing>
    </w:r>
  </w:p>
  <w:p w:rsidR="00E21A99" w:rsidRPr="00580696" w:rsidRDefault="001D2A74" w:rsidP="00FF68D7">
    <w:pPr>
      <w:tabs>
        <w:tab w:val="left" w:pos="3840"/>
        <w:tab w:val="right" w:pos="9360"/>
      </w:tabs>
      <w:jc w:val="right"/>
      <w:rPr>
        <w:rFonts w:ascii="Arial" w:hAnsi="Arial" w:cs="Arial"/>
        <w:b/>
        <w:sz w:val="28"/>
        <w:szCs w:val="28"/>
      </w:rPr>
    </w:pPr>
    <w:r>
      <w:rPr>
        <w:rFonts w:ascii="Arial" w:hAnsi="Arial" w:cs="Arial"/>
        <w:b/>
        <w:sz w:val="28"/>
        <w:szCs w:val="28"/>
      </w:rPr>
      <w:t>VR</w:t>
    </w:r>
    <w:r w:rsidR="00C558BE">
      <w:rPr>
        <w:rFonts w:ascii="Arial" w:hAnsi="Arial" w:cs="Arial"/>
        <w:b/>
        <w:sz w:val="28"/>
        <w:szCs w:val="28"/>
      </w:rPr>
      <w:t>/EN</w:t>
    </w:r>
    <w:r w:rsidR="009E1843" w:rsidRPr="00580696">
      <w:rPr>
        <w:rFonts w:ascii="Arial" w:hAnsi="Arial" w:cs="Arial"/>
        <w:b/>
        <w:sz w:val="28"/>
        <w:szCs w:val="28"/>
      </w:rPr>
      <w:t xml:space="preserve"> Call Recap</w:t>
    </w:r>
  </w:p>
  <w:p w:rsidR="009E1843" w:rsidRPr="00580696" w:rsidRDefault="00380BC6" w:rsidP="00FF68D7">
    <w:pPr>
      <w:tabs>
        <w:tab w:val="left" w:pos="3840"/>
        <w:tab w:val="right" w:pos="9360"/>
      </w:tabs>
      <w:jc w:val="right"/>
      <w:rPr>
        <w:rFonts w:ascii="Arial" w:hAnsi="Arial" w:cs="Arial"/>
        <w:b/>
        <w:sz w:val="28"/>
        <w:szCs w:val="28"/>
      </w:rPr>
    </w:pPr>
    <w:r>
      <w:rPr>
        <w:rFonts w:ascii="Arial" w:hAnsi="Arial" w:cs="Arial"/>
        <w:b/>
        <w:sz w:val="28"/>
        <w:szCs w:val="28"/>
      </w:rPr>
      <w:t xml:space="preserve">Call Date: </w:t>
    </w:r>
    <w:r w:rsidR="00AF7E16">
      <w:rPr>
        <w:rFonts w:ascii="Arial" w:hAnsi="Arial" w:cs="Arial"/>
        <w:b/>
        <w:sz w:val="28"/>
        <w:szCs w:val="28"/>
      </w:rPr>
      <w:t xml:space="preserve">April </w:t>
    </w:r>
    <w:r w:rsidR="00C558BE">
      <w:rPr>
        <w:rFonts w:ascii="Arial" w:hAnsi="Arial" w:cs="Arial"/>
        <w:b/>
        <w:sz w:val="28"/>
        <w:szCs w:val="28"/>
      </w:rPr>
      <w:t>29</w:t>
    </w:r>
    <w:r w:rsidR="009E1843" w:rsidRPr="00580696">
      <w:rPr>
        <w:rFonts w:ascii="Arial" w:hAnsi="Arial" w:cs="Arial"/>
        <w:b/>
        <w:sz w:val="28"/>
        <w:szCs w:val="28"/>
      </w:rPr>
      <w:t>, 2015</w:t>
    </w:r>
  </w:p>
  <w:p w:rsidR="008D27B0" w:rsidRDefault="008D2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C24"/>
    <w:multiLevelType w:val="hybridMultilevel"/>
    <w:tmpl w:val="A300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F5A36"/>
    <w:multiLevelType w:val="hybridMultilevel"/>
    <w:tmpl w:val="A18271C8"/>
    <w:lvl w:ilvl="0" w:tplc="04090001">
      <w:start w:val="1"/>
      <w:numFmt w:val="bullet"/>
      <w:lvlText w:val=""/>
      <w:lvlJc w:val="left"/>
      <w:pPr>
        <w:ind w:left="720" w:hanging="360"/>
      </w:pPr>
      <w:rPr>
        <w:rFonts w:ascii="Symbol" w:hAnsi="Symbol" w:hint="default"/>
        <w:b/>
        <w:i/>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45267"/>
    <w:multiLevelType w:val="hybridMultilevel"/>
    <w:tmpl w:val="05F2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B6F2F"/>
    <w:multiLevelType w:val="hybridMultilevel"/>
    <w:tmpl w:val="A06E32A4"/>
    <w:lvl w:ilvl="0" w:tplc="2520B58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B5CA6"/>
    <w:multiLevelType w:val="hybridMultilevel"/>
    <w:tmpl w:val="06565A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361210D"/>
    <w:multiLevelType w:val="hybridMultilevel"/>
    <w:tmpl w:val="E116CE58"/>
    <w:lvl w:ilvl="0" w:tplc="22C8D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F2EC4"/>
    <w:multiLevelType w:val="hybridMultilevel"/>
    <w:tmpl w:val="DF6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85AA4"/>
    <w:multiLevelType w:val="hybridMultilevel"/>
    <w:tmpl w:val="1708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FE2105"/>
    <w:multiLevelType w:val="hybridMultilevel"/>
    <w:tmpl w:val="0A94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80FE7"/>
    <w:multiLevelType w:val="hybridMultilevel"/>
    <w:tmpl w:val="8F94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B02D3"/>
    <w:multiLevelType w:val="hybridMultilevel"/>
    <w:tmpl w:val="B85C1B2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9850DB3"/>
    <w:multiLevelType w:val="hybridMultilevel"/>
    <w:tmpl w:val="7CAAF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AF62DB"/>
    <w:multiLevelType w:val="hybridMultilevel"/>
    <w:tmpl w:val="9C90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1D74CD6"/>
    <w:multiLevelType w:val="hybridMultilevel"/>
    <w:tmpl w:val="19A8B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8E0566"/>
    <w:multiLevelType w:val="hybridMultilevel"/>
    <w:tmpl w:val="AA4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957D4"/>
    <w:multiLevelType w:val="hybridMultilevel"/>
    <w:tmpl w:val="F57AD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4C32B3"/>
    <w:multiLevelType w:val="hybridMultilevel"/>
    <w:tmpl w:val="63F08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12623F"/>
    <w:multiLevelType w:val="hybridMultilevel"/>
    <w:tmpl w:val="A86C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30250"/>
    <w:multiLevelType w:val="hybridMultilevel"/>
    <w:tmpl w:val="EA4C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CA653A"/>
    <w:multiLevelType w:val="hybridMultilevel"/>
    <w:tmpl w:val="D5C0A0C8"/>
    <w:lvl w:ilvl="0" w:tplc="8B5812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511546F"/>
    <w:multiLevelType w:val="hybridMultilevel"/>
    <w:tmpl w:val="E23228A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530F253F"/>
    <w:multiLevelType w:val="hybridMultilevel"/>
    <w:tmpl w:val="3122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F5474"/>
    <w:multiLevelType w:val="hybridMultilevel"/>
    <w:tmpl w:val="2F6ED8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3E3B4D"/>
    <w:multiLevelType w:val="hybridMultilevel"/>
    <w:tmpl w:val="342491B4"/>
    <w:lvl w:ilvl="0" w:tplc="B020561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77123"/>
    <w:multiLevelType w:val="multilevel"/>
    <w:tmpl w:val="36F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2F6F51"/>
    <w:multiLevelType w:val="hybridMultilevel"/>
    <w:tmpl w:val="95A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66FE2"/>
    <w:multiLevelType w:val="hybridMultilevel"/>
    <w:tmpl w:val="A8C28E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681D714B"/>
    <w:multiLevelType w:val="hybridMultilevel"/>
    <w:tmpl w:val="D068B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966B8E"/>
    <w:multiLevelType w:val="hybridMultilevel"/>
    <w:tmpl w:val="CCE85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6F6982"/>
    <w:multiLevelType w:val="hybridMultilevel"/>
    <w:tmpl w:val="70BEA5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2D4924"/>
    <w:multiLevelType w:val="hybridMultilevel"/>
    <w:tmpl w:val="64EABD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1">
    <w:nsid w:val="74773847"/>
    <w:multiLevelType w:val="hybridMultilevel"/>
    <w:tmpl w:val="7074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83060E"/>
    <w:multiLevelType w:val="hybridMultilevel"/>
    <w:tmpl w:val="E9D66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3"/>
  </w:num>
  <w:num w:numId="4">
    <w:abstractNumId w:val="4"/>
  </w:num>
  <w:num w:numId="5">
    <w:abstractNumId w:val="24"/>
  </w:num>
  <w:num w:numId="6">
    <w:abstractNumId w:val="1"/>
  </w:num>
  <w:num w:numId="7">
    <w:abstractNumId w:val="22"/>
  </w:num>
  <w:num w:numId="8">
    <w:abstractNumId w:val="12"/>
  </w:num>
  <w:num w:numId="9">
    <w:abstractNumId w:val="7"/>
  </w:num>
  <w:num w:numId="10">
    <w:abstractNumId w:val="26"/>
  </w:num>
  <w:num w:numId="11">
    <w:abstractNumId w:val="10"/>
  </w:num>
  <w:num w:numId="12">
    <w:abstractNumId w:val="32"/>
  </w:num>
  <w:num w:numId="13">
    <w:abstractNumId w:val="5"/>
  </w:num>
  <w:num w:numId="14">
    <w:abstractNumId w:val="18"/>
  </w:num>
  <w:num w:numId="15">
    <w:abstractNumId w:val="6"/>
  </w:num>
  <w:num w:numId="16">
    <w:abstractNumId w:val="16"/>
  </w:num>
  <w:num w:numId="17">
    <w:abstractNumId w:val="14"/>
  </w:num>
  <w:num w:numId="18">
    <w:abstractNumId w:val="30"/>
  </w:num>
  <w:num w:numId="19">
    <w:abstractNumId w:val="19"/>
  </w:num>
  <w:num w:numId="20">
    <w:abstractNumId w:val="9"/>
  </w:num>
  <w:num w:numId="21">
    <w:abstractNumId w:val="20"/>
  </w:num>
  <w:num w:numId="22">
    <w:abstractNumId w:val="8"/>
  </w:num>
  <w:num w:numId="23">
    <w:abstractNumId w:val="17"/>
  </w:num>
  <w:num w:numId="24">
    <w:abstractNumId w:val="29"/>
  </w:num>
  <w:num w:numId="25">
    <w:abstractNumId w:val="31"/>
  </w:num>
  <w:num w:numId="26">
    <w:abstractNumId w:val="27"/>
  </w:num>
  <w:num w:numId="27">
    <w:abstractNumId w:val="25"/>
  </w:num>
  <w:num w:numId="28">
    <w:abstractNumId w:val="2"/>
  </w:num>
  <w:num w:numId="29">
    <w:abstractNumId w:val="0"/>
  </w:num>
  <w:num w:numId="30">
    <w:abstractNumId w:val="15"/>
  </w:num>
  <w:num w:numId="31">
    <w:abstractNumId w:val="11"/>
  </w:num>
  <w:num w:numId="32">
    <w:abstractNumId w:val="28"/>
  </w:num>
  <w:num w:numId="3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3"/>
    <w:rsid w:val="000064BF"/>
    <w:rsid w:val="00021BFC"/>
    <w:rsid w:val="00036A8A"/>
    <w:rsid w:val="00044789"/>
    <w:rsid w:val="0005524E"/>
    <w:rsid w:val="00057E12"/>
    <w:rsid w:val="00060366"/>
    <w:rsid w:val="00080346"/>
    <w:rsid w:val="000A6637"/>
    <w:rsid w:val="000B37D7"/>
    <w:rsid w:val="000C18F4"/>
    <w:rsid w:val="000D0B3A"/>
    <w:rsid w:val="000D0F84"/>
    <w:rsid w:val="000E0B10"/>
    <w:rsid w:val="000F388D"/>
    <w:rsid w:val="000F55D3"/>
    <w:rsid w:val="00110B38"/>
    <w:rsid w:val="001200AF"/>
    <w:rsid w:val="00125590"/>
    <w:rsid w:val="001301FD"/>
    <w:rsid w:val="0013454A"/>
    <w:rsid w:val="00137109"/>
    <w:rsid w:val="001447F5"/>
    <w:rsid w:val="001469BA"/>
    <w:rsid w:val="00150022"/>
    <w:rsid w:val="00161429"/>
    <w:rsid w:val="00163639"/>
    <w:rsid w:val="0017641D"/>
    <w:rsid w:val="00176CF9"/>
    <w:rsid w:val="00176E8E"/>
    <w:rsid w:val="001A173B"/>
    <w:rsid w:val="001B10F8"/>
    <w:rsid w:val="001D2A74"/>
    <w:rsid w:val="001D7855"/>
    <w:rsid w:val="001E32E6"/>
    <w:rsid w:val="00232ADB"/>
    <w:rsid w:val="0024699A"/>
    <w:rsid w:val="00262403"/>
    <w:rsid w:val="002A02B6"/>
    <w:rsid w:val="002A1319"/>
    <w:rsid w:val="002A5D95"/>
    <w:rsid w:val="002B771D"/>
    <w:rsid w:val="002C0552"/>
    <w:rsid w:val="002C3BA3"/>
    <w:rsid w:val="002C3CE9"/>
    <w:rsid w:val="002C57EE"/>
    <w:rsid w:val="002D033F"/>
    <w:rsid w:val="002E3677"/>
    <w:rsid w:val="002F33EE"/>
    <w:rsid w:val="002F4073"/>
    <w:rsid w:val="002F4129"/>
    <w:rsid w:val="0030760B"/>
    <w:rsid w:val="00310C4A"/>
    <w:rsid w:val="00310F11"/>
    <w:rsid w:val="003139B8"/>
    <w:rsid w:val="00324070"/>
    <w:rsid w:val="003510E4"/>
    <w:rsid w:val="00351553"/>
    <w:rsid w:val="00363097"/>
    <w:rsid w:val="00363A57"/>
    <w:rsid w:val="00366510"/>
    <w:rsid w:val="003701BE"/>
    <w:rsid w:val="00380BC6"/>
    <w:rsid w:val="003905C4"/>
    <w:rsid w:val="003D0A05"/>
    <w:rsid w:val="003F3074"/>
    <w:rsid w:val="00403C11"/>
    <w:rsid w:val="004144A0"/>
    <w:rsid w:val="00415231"/>
    <w:rsid w:val="00431B76"/>
    <w:rsid w:val="00433B68"/>
    <w:rsid w:val="00434EEF"/>
    <w:rsid w:val="004431CB"/>
    <w:rsid w:val="00461770"/>
    <w:rsid w:val="00462A96"/>
    <w:rsid w:val="00481461"/>
    <w:rsid w:val="004907F6"/>
    <w:rsid w:val="004A04B1"/>
    <w:rsid w:val="004B22B8"/>
    <w:rsid w:val="004C5459"/>
    <w:rsid w:val="004C735C"/>
    <w:rsid w:val="004D0010"/>
    <w:rsid w:val="004D0E6C"/>
    <w:rsid w:val="004D2837"/>
    <w:rsid w:val="004D479E"/>
    <w:rsid w:val="004E5BC6"/>
    <w:rsid w:val="0051433F"/>
    <w:rsid w:val="00525AEC"/>
    <w:rsid w:val="00525BB2"/>
    <w:rsid w:val="00530DAF"/>
    <w:rsid w:val="005354EE"/>
    <w:rsid w:val="005748DA"/>
    <w:rsid w:val="00580696"/>
    <w:rsid w:val="005960A2"/>
    <w:rsid w:val="005A210D"/>
    <w:rsid w:val="005E73E0"/>
    <w:rsid w:val="00606984"/>
    <w:rsid w:val="00613622"/>
    <w:rsid w:val="00623E0B"/>
    <w:rsid w:val="00654C42"/>
    <w:rsid w:val="00662131"/>
    <w:rsid w:val="0066263D"/>
    <w:rsid w:val="006702D9"/>
    <w:rsid w:val="00671DF2"/>
    <w:rsid w:val="006726B6"/>
    <w:rsid w:val="0067476E"/>
    <w:rsid w:val="0068290E"/>
    <w:rsid w:val="006838BD"/>
    <w:rsid w:val="00686E21"/>
    <w:rsid w:val="00691DC6"/>
    <w:rsid w:val="00697879"/>
    <w:rsid w:val="006A641B"/>
    <w:rsid w:val="006A75A8"/>
    <w:rsid w:val="006C7A41"/>
    <w:rsid w:val="006D2637"/>
    <w:rsid w:val="006F769B"/>
    <w:rsid w:val="00707C03"/>
    <w:rsid w:val="00730640"/>
    <w:rsid w:val="00735615"/>
    <w:rsid w:val="007375E9"/>
    <w:rsid w:val="00741A6B"/>
    <w:rsid w:val="00744BED"/>
    <w:rsid w:val="00750452"/>
    <w:rsid w:val="0075547D"/>
    <w:rsid w:val="00772D53"/>
    <w:rsid w:val="007F057A"/>
    <w:rsid w:val="007F19E4"/>
    <w:rsid w:val="007F68A0"/>
    <w:rsid w:val="008047C9"/>
    <w:rsid w:val="00811E30"/>
    <w:rsid w:val="0082531E"/>
    <w:rsid w:val="00826D93"/>
    <w:rsid w:val="00832D7B"/>
    <w:rsid w:val="00841D90"/>
    <w:rsid w:val="008629FF"/>
    <w:rsid w:val="00871FEE"/>
    <w:rsid w:val="008722FA"/>
    <w:rsid w:val="00883156"/>
    <w:rsid w:val="0088372C"/>
    <w:rsid w:val="008A4133"/>
    <w:rsid w:val="008B0CA4"/>
    <w:rsid w:val="008B559A"/>
    <w:rsid w:val="008C6F06"/>
    <w:rsid w:val="008D27B0"/>
    <w:rsid w:val="008E1717"/>
    <w:rsid w:val="00907F95"/>
    <w:rsid w:val="009270DA"/>
    <w:rsid w:val="00957F91"/>
    <w:rsid w:val="00961BEB"/>
    <w:rsid w:val="0097070D"/>
    <w:rsid w:val="00982429"/>
    <w:rsid w:val="00985163"/>
    <w:rsid w:val="00992C1F"/>
    <w:rsid w:val="0099640C"/>
    <w:rsid w:val="009A61D1"/>
    <w:rsid w:val="009E1843"/>
    <w:rsid w:val="009F1BB2"/>
    <w:rsid w:val="009F383E"/>
    <w:rsid w:val="00A20578"/>
    <w:rsid w:val="00A226D2"/>
    <w:rsid w:val="00A228D7"/>
    <w:rsid w:val="00A328C6"/>
    <w:rsid w:val="00A34D00"/>
    <w:rsid w:val="00A41CBB"/>
    <w:rsid w:val="00A4494F"/>
    <w:rsid w:val="00A5350D"/>
    <w:rsid w:val="00A61A46"/>
    <w:rsid w:val="00A65F8C"/>
    <w:rsid w:val="00A8220D"/>
    <w:rsid w:val="00A824A5"/>
    <w:rsid w:val="00AA3EB6"/>
    <w:rsid w:val="00AA72AB"/>
    <w:rsid w:val="00AB5EA3"/>
    <w:rsid w:val="00AC6901"/>
    <w:rsid w:val="00AD15EA"/>
    <w:rsid w:val="00AD3AD9"/>
    <w:rsid w:val="00AE2B57"/>
    <w:rsid w:val="00AF33C6"/>
    <w:rsid w:val="00AF7E16"/>
    <w:rsid w:val="00B133F4"/>
    <w:rsid w:val="00B41104"/>
    <w:rsid w:val="00B5592B"/>
    <w:rsid w:val="00B63E2E"/>
    <w:rsid w:val="00B65CD6"/>
    <w:rsid w:val="00B67710"/>
    <w:rsid w:val="00BC61CB"/>
    <w:rsid w:val="00BD2933"/>
    <w:rsid w:val="00BD5093"/>
    <w:rsid w:val="00BE2FF7"/>
    <w:rsid w:val="00BE3787"/>
    <w:rsid w:val="00C11D20"/>
    <w:rsid w:val="00C246AC"/>
    <w:rsid w:val="00C558BE"/>
    <w:rsid w:val="00C64980"/>
    <w:rsid w:val="00C878D9"/>
    <w:rsid w:val="00C91DA3"/>
    <w:rsid w:val="00C94D8D"/>
    <w:rsid w:val="00CB5CDE"/>
    <w:rsid w:val="00CE3DAE"/>
    <w:rsid w:val="00D15632"/>
    <w:rsid w:val="00D2381A"/>
    <w:rsid w:val="00D24C88"/>
    <w:rsid w:val="00D376CA"/>
    <w:rsid w:val="00D437B6"/>
    <w:rsid w:val="00D57E71"/>
    <w:rsid w:val="00D62D71"/>
    <w:rsid w:val="00D938DB"/>
    <w:rsid w:val="00D96CC8"/>
    <w:rsid w:val="00DB5CCD"/>
    <w:rsid w:val="00DE1429"/>
    <w:rsid w:val="00DF359E"/>
    <w:rsid w:val="00E07443"/>
    <w:rsid w:val="00E1790D"/>
    <w:rsid w:val="00E21A99"/>
    <w:rsid w:val="00E22E3E"/>
    <w:rsid w:val="00E42FA7"/>
    <w:rsid w:val="00E55B77"/>
    <w:rsid w:val="00E57FB0"/>
    <w:rsid w:val="00E6002A"/>
    <w:rsid w:val="00E67F96"/>
    <w:rsid w:val="00E77E30"/>
    <w:rsid w:val="00E86842"/>
    <w:rsid w:val="00ED15CE"/>
    <w:rsid w:val="00ED4258"/>
    <w:rsid w:val="00EF1D5C"/>
    <w:rsid w:val="00EF370F"/>
    <w:rsid w:val="00F27FA2"/>
    <w:rsid w:val="00F32B64"/>
    <w:rsid w:val="00F46A24"/>
    <w:rsid w:val="00F70FBF"/>
    <w:rsid w:val="00F73151"/>
    <w:rsid w:val="00FB2179"/>
    <w:rsid w:val="00FC7A8B"/>
    <w:rsid w:val="00FF4FF1"/>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A4721BB-A4DE-4FEC-8564-11EBC774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table" w:styleId="TableGrid">
    <w:name w:val="Table Grid"/>
    <w:basedOn w:val="TableNormal"/>
    <w:uiPriority w:val="59"/>
    <w:rsid w:val="00A4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8D9"/>
    <w:rPr>
      <w:sz w:val="16"/>
      <w:szCs w:val="16"/>
    </w:rPr>
  </w:style>
  <w:style w:type="paragraph" w:styleId="CommentText">
    <w:name w:val="annotation text"/>
    <w:basedOn w:val="Normal"/>
    <w:link w:val="CommentTextChar"/>
    <w:uiPriority w:val="99"/>
    <w:unhideWhenUsed/>
    <w:rsid w:val="00C878D9"/>
    <w:rPr>
      <w:sz w:val="20"/>
      <w:szCs w:val="20"/>
    </w:rPr>
  </w:style>
  <w:style w:type="character" w:customStyle="1" w:styleId="CommentTextChar">
    <w:name w:val="Comment Text Char"/>
    <w:basedOn w:val="DefaultParagraphFont"/>
    <w:link w:val="CommentText"/>
    <w:uiPriority w:val="99"/>
    <w:rsid w:val="00C878D9"/>
    <w:rPr>
      <w:rFonts w:ascii="Calibri" w:eastAsia="Calibri" w:hAnsi="Calibri" w:cs="Times New Roman"/>
    </w:rPr>
  </w:style>
  <w:style w:type="character" w:styleId="FollowedHyperlink">
    <w:name w:val="FollowedHyperlink"/>
    <w:uiPriority w:val="99"/>
    <w:semiHidden/>
    <w:unhideWhenUsed/>
    <w:rsid w:val="00741A6B"/>
    <w:rPr>
      <w:color w:val="800080"/>
      <w:u w:val="single"/>
    </w:rPr>
  </w:style>
  <w:style w:type="character" w:customStyle="1" w:styleId="hometext1">
    <w:name w:val="hometext1"/>
    <w:rsid w:val="00741A6B"/>
    <w:rPr>
      <w:rFonts w:ascii="Arial" w:hAnsi="Arial" w:cs="Arial" w:hint="default"/>
      <w:color w:val="333333"/>
      <w:sz w:val="18"/>
      <w:szCs w:val="18"/>
    </w:rPr>
  </w:style>
  <w:style w:type="character" w:customStyle="1" w:styleId="hometextdark1">
    <w:name w:val="hometextdark1"/>
    <w:rsid w:val="00741A6B"/>
    <w:rPr>
      <w:rFonts w:ascii="Arial" w:hAnsi="Arial" w:cs="Arial" w:hint="default"/>
      <w:b/>
      <w:bCs/>
      <w:color w:val="333333"/>
      <w:sz w:val="18"/>
      <w:szCs w:val="18"/>
    </w:rPr>
  </w:style>
  <w:style w:type="paragraph" w:customStyle="1" w:styleId="Pa6">
    <w:name w:val="Pa6"/>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
    <w:name w:val="Pa1"/>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handbook">
    <w:name w:val="handbook"/>
    <w:basedOn w:val="Normal"/>
    <w:rsid w:val="00741A6B"/>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1A6B"/>
    <w:pPr>
      <w:spacing w:after="200" w:line="276" w:lineRule="auto"/>
    </w:pPr>
    <w:rPr>
      <w:b/>
      <w:bCs/>
    </w:rPr>
  </w:style>
  <w:style w:type="character" w:customStyle="1" w:styleId="CommentSubjectChar">
    <w:name w:val="Comment Subject Char"/>
    <w:basedOn w:val="CommentTextChar"/>
    <w:link w:val="CommentSubject"/>
    <w:uiPriority w:val="99"/>
    <w:semiHidden/>
    <w:rsid w:val="00741A6B"/>
    <w:rPr>
      <w:rFonts w:ascii="Calibri" w:eastAsia="Calibri" w:hAnsi="Calibri" w:cs="Times New Roman"/>
      <w:b/>
      <w:bCs/>
    </w:rPr>
  </w:style>
  <w:style w:type="paragraph" w:customStyle="1" w:styleId="SectionHead">
    <w:name w:val="Section Head"/>
    <w:rsid w:val="00741A6B"/>
    <w:pPr>
      <w:widowControl w:val="0"/>
      <w:autoSpaceDE w:val="0"/>
      <w:autoSpaceDN w:val="0"/>
      <w:adjustRightInd w:val="0"/>
    </w:pPr>
    <w:rPr>
      <w:rFonts w:ascii="Times New Roman" w:eastAsia="Times New Roman" w:hAnsi="Times New Roman"/>
      <w:sz w:val="24"/>
      <w:szCs w:val="24"/>
      <w:lang w:eastAsia="zh-CN"/>
    </w:rPr>
  </w:style>
  <w:style w:type="paragraph" w:customStyle="1" w:styleId="Pa11">
    <w:name w:val="Pa11"/>
    <w:basedOn w:val="Default"/>
    <w:next w:val="Default"/>
    <w:uiPriority w:val="99"/>
    <w:rsid w:val="00741A6B"/>
    <w:pPr>
      <w:spacing w:line="221" w:lineRule="atLeast"/>
    </w:pPr>
    <w:rPr>
      <w:rFonts w:ascii="Myriad Pro" w:hAnsi="Myriad Pro"/>
      <w:color w:val="auto"/>
    </w:rPr>
  </w:style>
  <w:style w:type="paragraph" w:customStyle="1" w:styleId="pa100">
    <w:name w:val="pa10"/>
    <w:basedOn w:val="Normal"/>
    <w:rsid w:val="00741A6B"/>
    <w:rPr>
      <w:rFonts w:ascii="Times New Roman" w:eastAsia="Times New Roman" w:hAnsi="Times New Roman"/>
    </w:rPr>
  </w:style>
  <w:style w:type="paragraph" w:styleId="Revision">
    <w:name w:val="Revision"/>
    <w:hidden/>
    <w:uiPriority w:val="99"/>
    <w:rsid w:val="00741A6B"/>
    <w:rPr>
      <w:sz w:val="22"/>
      <w:szCs w:val="22"/>
    </w:rPr>
  </w:style>
  <w:style w:type="paragraph" w:customStyle="1" w:styleId="Organization">
    <w:name w:val="Organization"/>
    <w:basedOn w:val="Normal"/>
    <w:next w:val="Normal"/>
    <w:uiPriority w:val="1"/>
    <w:qFormat/>
    <w:rsid w:val="00B67710"/>
    <w:pPr>
      <w:spacing w:before="240" w:after="100"/>
      <w:ind w:left="144" w:right="144"/>
    </w:pPr>
    <w:rPr>
      <w:rFonts w:ascii="Arial" w:eastAsia="MS PGothic" w:hAnsi="Arial"/>
      <w:color w:val="3F505B"/>
      <w:sz w:val="44"/>
      <w:szCs w:val="22"/>
    </w:rPr>
  </w:style>
  <w:style w:type="paragraph" w:customStyle="1" w:styleId="MXTTxt">
    <w:name w:val="MX T Txt"/>
    <w:uiPriority w:val="3"/>
    <w:qFormat/>
    <w:rsid w:val="00B67710"/>
    <w:pPr>
      <w:spacing w:before="20" w:after="20"/>
    </w:pPr>
    <w:rPr>
      <w:rFonts w:ascii="Arial Narrow" w:eastAsia="Times New Roman" w:hAnsi="Arial Narrow"/>
      <w:spacing w:val="8"/>
      <w:szCs w:val="18"/>
    </w:rPr>
  </w:style>
  <w:style w:type="paragraph" w:customStyle="1" w:styleId="MXTHd1">
    <w:name w:val="MX T Hd 1"/>
    <w:basedOn w:val="Normal"/>
    <w:uiPriority w:val="3"/>
    <w:qFormat/>
    <w:rsid w:val="00B67710"/>
    <w:pPr>
      <w:keepNext/>
      <w:spacing w:before="20" w:after="20"/>
      <w:jc w:val="center"/>
    </w:pPr>
    <w:rPr>
      <w:rFonts w:ascii="Arial Narrow" w:eastAsia="Times New Roman" w:hAnsi="Arial Narrow"/>
      <w:b/>
      <w:color w:val="FFFFFF"/>
      <w:spacing w:val="8"/>
      <w:sz w:val="20"/>
      <w:szCs w:val="18"/>
    </w:rPr>
  </w:style>
  <w:style w:type="paragraph" w:customStyle="1" w:styleId="Photo">
    <w:name w:val="Photo"/>
    <w:basedOn w:val="Normal"/>
    <w:uiPriority w:val="2"/>
    <w:qFormat/>
    <w:rsid w:val="00021BFC"/>
    <w:pPr>
      <w:spacing w:after="360"/>
      <w:jc w:val="center"/>
    </w:pPr>
    <w:rPr>
      <w:rFonts w:ascii="Arial" w:eastAsia="Arial" w:hAnsi="Arial"/>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376004482">
      <w:bodyDiv w:val="1"/>
      <w:marLeft w:val="0"/>
      <w:marRight w:val="0"/>
      <w:marTop w:val="0"/>
      <w:marBottom w:val="0"/>
      <w:divBdr>
        <w:top w:val="none" w:sz="0" w:space="0" w:color="auto"/>
        <w:left w:val="none" w:sz="0" w:space="0" w:color="auto"/>
        <w:bottom w:val="none" w:sz="0" w:space="0" w:color="auto"/>
        <w:right w:val="none" w:sz="0" w:space="0" w:color="auto"/>
      </w:divBdr>
    </w:div>
    <w:div w:id="1539974879">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atalie.sendldorfer@ss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rtickettowork.com/web/ttw/events-archive" TargetMode="External"/><Relationship Id="rId4" Type="http://schemas.openxmlformats.org/officeDocument/2006/relationships/settings" Target="settings.xml"/><Relationship Id="rId9" Type="http://schemas.openxmlformats.org/officeDocument/2006/relationships/hyperlink" Target="https://yourtickettowork.com/web/ttw/events-archiv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4E70B-84C2-4FF7-9BE6-286536B0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Dubey</dc:creator>
  <cp:lastModifiedBy>LaTasha Durret</cp:lastModifiedBy>
  <cp:revision>2</cp:revision>
  <cp:lastPrinted>2015-04-15T14:37:00Z</cp:lastPrinted>
  <dcterms:created xsi:type="dcterms:W3CDTF">2015-05-07T20:34:00Z</dcterms:created>
  <dcterms:modified xsi:type="dcterms:W3CDTF">2015-05-07T20:34:00Z</dcterms:modified>
</cp:coreProperties>
</file>