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4E" w:rsidRPr="0024334E" w:rsidRDefault="0024334E" w:rsidP="0024334E">
      <w:pPr>
        <w:pStyle w:val="Heading2"/>
      </w:pPr>
      <w:r>
        <w:t>What is Timely Progress Review (TPR) and why is it important?</w:t>
      </w:r>
    </w:p>
    <w:p w:rsidR="0062166E" w:rsidRPr="0047669D" w:rsidRDefault="00DE3B4A" w:rsidP="00113C1E">
      <w:pPr>
        <w:rPr>
          <w:sz w:val="22"/>
          <w:szCs w:val="22"/>
        </w:rPr>
      </w:pPr>
      <w:r w:rsidRPr="0047669D">
        <w:rPr>
          <w:sz w:val="22"/>
          <w:szCs w:val="22"/>
        </w:rPr>
        <w:t xml:space="preserve">We conduct </w:t>
      </w:r>
      <w:r w:rsidR="00113C1E" w:rsidRPr="0047669D">
        <w:rPr>
          <w:sz w:val="22"/>
          <w:szCs w:val="22"/>
        </w:rPr>
        <w:t xml:space="preserve">TPR </w:t>
      </w:r>
      <w:r w:rsidR="00E54BAF" w:rsidRPr="0047669D">
        <w:rPr>
          <w:sz w:val="22"/>
          <w:szCs w:val="22"/>
        </w:rPr>
        <w:t xml:space="preserve">approximately every 12 months </w:t>
      </w:r>
      <w:r w:rsidRPr="0047669D">
        <w:rPr>
          <w:sz w:val="22"/>
          <w:szCs w:val="22"/>
        </w:rPr>
        <w:t xml:space="preserve">after a beneficiary begins to participate in the Ticket program </w:t>
      </w:r>
      <w:r w:rsidR="00113C1E" w:rsidRPr="0047669D">
        <w:rPr>
          <w:sz w:val="22"/>
          <w:szCs w:val="22"/>
        </w:rPr>
        <w:t>to ensure that</w:t>
      </w:r>
      <w:r w:rsidRPr="0047669D">
        <w:rPr>
          <w:sz w:val="22"/>
          <w:szCs w:val="22"/>
        </w:rPr>
        <w:t xml:space="preserve"> the beneficiary is making</w:t>
      </w:r>
      <w:r w:rsidR="00113C1E" w:rsidRPr="0047669D">
        <w:rPr>
          <w:sz w:val="22"/>
          <w:szCs w:val="22"/>
        </w:rPr>
        <w:t xml:space="preserve"> </w:t>
      </w:r>
      <w:r w:rsidRPr="0047669D">
        <w:rPr>
          <w:sz w:val="22"/>
          <w:szCs w:val="22"/>
        </w:rPr>
        <w:t xml:space="preserve">expected </w:t>
      </w:r>
      <w:r w:rsidR="00113C1E" w:rsidRPr="0047669D">
        <w:rPr>
          <w:sz w:val="22"/>
          <w:szCs w:val="22"/>
        </w:rPr>
        <w:t>progress</w:t>
      </w:r>
      <w:r w:rsidR="00850ECB">
        <w:rPr>
          <w:sz w:val="22"/>
          <w:szCs w:val="22"/>
        </w:rPr>
        <w:t xml:space="preserve"> </w:t>
      </w:r>
      <w:r w:rsidR="00113C1E" w:rsidRPr="0047669D">
        <w:rPr>
          <w:sz w:val="22"/>
          <w:szCs w:val="22"/>
        </w:rPr>
        <w:t>towards gaining financial independence</w:t>
      </w:r>
      <w:r w:rsidRPr="0047669D">
        <w:rPr>
          <w:sz w:val="22"/>
          <w:szCs w:val="22"/>
        </w:rPr>
        <w:t>.</w:t>
      </w:r>
      <w:r w:rsidR="00113C1E" w:rsidRPr="0047669D">
        <w:rPr>
          <w:sz w:val="22"/>
          <w:szCs w:val="22"/>
        </w:rPr>
        <w:t xml:space="preserve"> If the </w:t>
      </w:r>
      <w:r w:rsidRPr="0047669D">
        <w:rPr>
          <w:sz w:val="22"/>
          <w:szCs w:val="22"/>
        </w:rPr>
        <w:t xml:space="preserve">beneficiary satisfies the TPR requirements </w:t>
      </w:r>
      <w:r w:rsidR="00E54BAF" w:rsidRPr="0047669D">
        <w:rPr>
          <w:sz w:val="22"/>
          <w:szCs w:val="22"/>
        </w:rPr>
        <w:t xml:space="preserve">during the </w:t>
      </w:r>
      <w:r w:rsidR="00850ECB">
        <w:rPr>
          <w:sz w:val="22"/>
          <w:szCs w:val="22"/>
        </w:rPr>
        <w:t xml:space="preserve">review period, </w:t>
      </w:r>
      <w:r w:rsidR="00113C1E" w:rsidRPr="0047669D">
        <w:rPr>
          <w:sz w:val="22"/>
          <w:szCs w:val="22"/>
        </w:rPr>
        <w:t xml:space="preserve">the </w:t>
      </w:r>
      <w:r w:rsidR="007D0A57" w:rsidRPr="0047669D">
        <w:rPr>
          <w:sz w:val="22"/>
          <w:szCs w:val="22"/>
        </w:rPr>
        <w:t>beneficiary</w:t>
      </w:r>
      <w:r w:rsidR="00113C1E" w:rsidRPr="0047669D">
        <w:rPr>
          <w:sz w:val="22"/>
          <w:szCs w:val="22"/>
        </w:rPr>
        <w:t xml:space="preserve"> receives </w:t>
      </w:r>
      <w:r w:rsidRPr="0047669D">
        <w:rPr>
          <w:sz w:val="22"/>
          <w:szCs w:val="22"/>
        </w:rPr>
        <w:t xml:space="preserve">protection from medical </w:t>
      </w:r>
      <w:r w:rsidR="00113C1E" w:rsidRPr="0047669D">
        <w:rPr>
          <w:sz w:val="22"/>
          <w:szCs w:val="22"/>
        </w:rPr>
        <w:t xml:space="preserve">Continual Disability Review (CDR) for </w:t>
      </w:r>
      <w:r w:rsidR="00206E4B">
        <w:rPr>
          <w:sz w:val="22"/>
          <w:szCs w:val="22"/>
        </w:rPr>
        <w:t xml:space="preserve">approximately </w:t>
      </w:r>
      <w:r w:rsidR="00113C1E" w:rsidRPr="0047669D">
        <w:rPr>
          <w:sz w:val="22"/>
          <w:szCs w:val="22"/>
        </w:rPr>
        <w:t xml:space="preserve">the next 12 months.  The CDR protection is valuable and encourages the </w:t>
      </w:r>
      <w:r w:rsidR="007D0A57" w:rsidRPr="0047669D">
        <w:rPr>
          <w:sz w:val="22"/>
          <w:szCs w:val="22"/>
        </w:rPr>
        <w:t>beneficiary</w:t>
      </w:r>
      <w:r w:rsidR="00113C1E" w:rsidRPr="0047669D">
        <w:rPr>
          <w:sz w:val="22"/>
          <w:szCs w:val="22"/>
        </w:rPr>
        <w:t xml:space="preserve"> to continue to work towards their financial independence. </w:t>
      </w:r>
    </w:p>
    <w:p w:rsidR="00734673" w:rsidRDefault="00734673" w:rsidP="0047669D">
      <w:pPr>
        <w:pStyle w:val="Heading2"/>
        <w:tabs>
          <w:tab w:val="left" w:pos="3888"/>
        </w:tabs>
      </w:pPr>
      <w:r>
        <w:t>Is TPR policy changing?</w:t>
      </w:r>
      <w:r w:rsidR="0047669D">
        <w:tab/>
      </w:r>
    </w:p>
    <w:p w:rsidR="00850ECB" w:rsidRDefault="00D132B4" w:rsidP="0024334E">
      <w:pPr>
        <w:pStyle w:val="Heading2"/>
        <w:rPr>
          <w:b w:val="0"/>
          <w:color w:val="auto"/>
          <w:sz w:val="22"/>
          <w:szCs w:val="22"/>
        </w:rPr>
      </w:pPr>
      <w:r>
        <w:rPr>
          <w:b w:val="0"/>
          <w:color w:val="auto"/>
          <w:sz w:val="22"/>
          <w:szCs w:val="22"/>
        </w:rPr>
        <w:t xml:space="preserve">No. </w:t>
      </w:r>
      <w:bookmarkStart w:id="0" w:name="_GoBack"/>
      <w:bookmarkEnd w:id="0"/>
      <w:r w:rsidR="00734673" w:rsidRPr="0047669D">
        <w:rPr>
          <w:b w:val="0"/>
          <w:color w:val="auto"/>
          <w:sz w:val="22"/>
          <w:szCs w:val="22"/>
        </w:rPr>
        <w:t xml:space="preserve">The Ticket Program </w:t>
      </w:r>
      <w:r>
        <w:rPr>
          <w:b w:val="0"/>
          <w:color w:val="auto"/>
          <w:sz w:val="22"/>
          <w:szCs w:val="22"/>
        </w:rPr>
        <w:t xml:space="preserve">regulations are not changing. </w:t>
      </w:r>
      <w:r w:rsidR="00734673" w:rsidRPr="0047669D">
        <w:rPr>
          <w:b w:val="0"/>
          <w:color w:val="auto"/>
          <w:sz w:val="22"/>
          <w:szCs w:val="22"/>
        </w:rPr>
        <w:t>Rather, we are moving to a new, more efficient SSA sys</w:t>
      </w:r>
      <w:r>
        <w:rPr>
          <w:b w:val="0"/>
          <w:color w:val="auto"/>
          <w:sz w:val="22"/>
          <w:szCs w:val="22"/>
        </w:rPr>
        <w:t xml:space="preserve">tem, the Portal, to manage it. </w:t>
      </w:r>
      <w:r w:rsidR="00734673" w:rsidRPr="0047669D">
        <w:rPr>
          <w:b w:val="0"/>
          <w:color w:val="auto"/>
          <w:sz w:val="22"/>
          <w:szCs w:val="22"/>
        </w:rPr>
        <w:t xml:space="preserve">This will change some processes as discussed below. </w:t>
      </w:r>
    </w:p>
    <w:p w:rsidR="001708C6" w:rsidRPr="00D311BD" w:rsidRDefault="0024334E" w:rsidP="0024334E">
      <w:pPr>
        <w:pStyle w:val="Heading2"/>
        <w:rPr>
          <w:color w:val="1F497D" w:themeColor="text2"/>
          <w:szCs w:val="28"/>
        </w:rPr>
      </w:pPr>
      <w:r w:rsidRPr="00D311BD">
        <w:rPr>
          <w:color w:val="1F497D" w:themeColor="text2"/>
          <w:szCs w:val="28"/>
        </w:rPr>
        <w:t xml:space="preserve">What is different with the reintroduction of TPR and how will it directly </w:t>
      </w:r>
      <w:r w:rsidR="00A572F5" w:rsidRPr="00D311BD">
        <w:rPr>
          <w:color w:val="1F497D" w:themeColor="text2"/>
          <w:szCs w:val="28"/>
        </w:rPr>
        <w:t xml:space="preserve">affect </w:t>
      </w:r>
      <w:r w:rsidRPr="00D311BD">
        <w:rPr>
          <w:color w:val="1F497D" w:themeColor="text2"/>
          <w:szCs w:val="28"/>
        </w:rPr>
        <w:t>VRs?</w:t>
      </w:r>
    </w:p>
    <w:p w:rsidR="0024334E" w:rsidRDefault="00885F80" w:rsidP="0024334E">
      <w:pPr>
        <w:pStyle w:val="Heading3"/>
      </w:pPr>
      <w:r>
        <w:t>Opting Out</w:t>
      </w:r>
    </w:p>
    <w:p w:rsidR="00885F80" w:rsidRPr="00D311BD" w:rsidRDefault="0089035E" w:rsidP="00885F80">
      <w:pPr>
        <w:rPr>
          <w:sz w:val="22"/>
          <w:szCs w:val="22"/>
        </w:rPr>
      </w:pPr>
      <w:r w:rsidRPr="00D311BD">
        <w:rPr>
          <w:sz w:val="22"/>
          <w:szCs w:val="22"/>
        </w:rPr>
        <w:t xml:space="preserve">Because </w:t>
      </w:r>
      <w:r w:rsidR="003152CE" w:rsidRPr="00D311BD">
        <w:rPr>
          <w:sz w:val="22"/>
          <w:szCs w:val="22"/>
        </w:rPr>
        <w:t xml:space="preserve">we will use the Portal to conduct TPR, </w:t>
      </w:r>
      <w:r w:rsidRPr="00D311BD">
        <w:rPr>
          <w:sz w:val="22"/>
          <w:szCs w:val="22"/>
        </w:rPr>
        <w:t>the concept of opting out no longer is relevant. We no longer will send VR agencies n</w:t>
      </w:r>
      <w:r w:rsidR="00885F80" w:rsidRPr="00D311BD">
        <w:rPr>
          <w:sz w:val="22"/>
          <w:szCs w:val="22"/>
        </w:rPr>
        <w:t>otifications vi</w:t>
      </w:r>
      <w:r w:rsidR="00E54BAF" w:rsidRPr="00D311BD">
        <w:rPr>
          <w:sz w:val="22"/>
          <w:szCs w:val="22"/>
        </w:rPr>
        <w:t>a email when a TPR is initiated</w:t>
      </w:r>
      <w:r w:rsidRPr="00D311BD">
        <w:rPr>
          <w:sz w:val="22"/>
          <w:szCs w:val="22"/>
        </w:rPr>
        <w:t xml:space="preserve">.  </w:t>
      </w:r>
      <w:r w:rsidR="00885F80" w:rsidRPr="00D311BD">
        <w:rPr>
          <w:sz w:val="22"/>
          <w:szCs w:val="22"/>
        </w:rPr>
        <w:t xml:space="preserve"> State VR Agenc</w:t>
      </w:r>
      <w:r w:rsidRPr="00D311BD">
        <w:rPr>
          <w:sz w:val="22"/>
          <w:szCs w:val="22"/>
        </w:rPr>
        <w:t xml:space="preserve">ies will be able to check the Portal, </w:t>
      </w:r>
      <w:r w:rsidRPr="00D311BD">
        <w:rPr>
          <w:b/>
          <w:sz w:val="22"/>
          <w:szCs w:val="22"/>
        </w:rPr>
        <w:t>at their convenience</w:t>
      </w:r>
      <w:r w:rsidRPr="00D311BD">
        <w:rPr>
          <w:sz w:val="22"/>
          <w:szCs w:val="22"/>
        </w:rPr>
        <w:t>, to determine if any of their Ticket clients have been selected for TPR</w:t>
      </w:r>
      <w:r w:rsidR="003152CE" w:rsidRPr="00D311BD">
        <w:rPr>
          <w:sz w:val="22"/>
          <w:szCs w:val="22"/>
        </w:rPr>
        <w:t>, and to provide sufficient information to PASS that beneficiary</w:t>
      </w:r>
      <w:r w:rsidR="00885F80" w:rsidRPr="00D311BD">
        <w:rPr>
          <w:sz w:val="22"/>
          <w:szCs w:val="22"/>
        </w:rPr>
        <w:t>.</w:t>
      </w:r>
      <w:r w:rsidR="007D0A57" w:rsidRPr="00D311BD">
        <w:rPr>
          <w:sz w:val="22"/>
          <w:szCs w:val="22"/>
        </w:rPr>
        <w:t xml:space="preserve">  Beneficiaries will </w:t>
      </w:r>
      <w:r w:rsidR="003152CE" w:rsidRPr="00D311BD">
        <w:rPr>
          <w:sz w:val="22"/>
          <w:szCs w:val="22"/>
        </w:rPr>
        <w:t xml:space="preserve">continue to </w:t>
      </w:r>
      <w:r w:rsidR="007D0A57" w:rsidRPr="00D311BD">
        <w:rPr>
          <w:sz w:val="22"/>
          <w:szCs w:val="22"/>
        </w:rPr>
        <w:t xml:space="preserve">receive </w:t>
      </w:r>
      <w:r w:rsidR="003152CE" w:rsidRPr="00D311BD">
        <w:rPr>
          <w:sz w:val="22"/>
          <w:szCs w:val="22"/>
        </w:rPr>
        <w:t xml:space="preserve">the TPR notice </w:t>
      </w:r>
      <w:r w:rsidR="007D0A57" w:rsidRPr="00D311BD">
        <w:rPr>
          <w:sz w:val="22"/>
          <w:szCs w:val="22"/>
        </w:rPr>
        <w:t>and will be able to respond directly to TPM.</w:t>
      </w:r>
      <w:r w:rsidR="00206E4B" w:rsidRPr="00D311BD">
        <w:rPr>
          <w:sz w:val="22"/>
          <w:szCs w:val="22"/>
        </w:rPr>
        <w:t xml:space="preserve">  While e</w:t>
      </w:r>
      <w:r w:rsidR="00535953" w:rsidRPr="00D311BD">
        <w:rPr>
          <w:sz w:val="22"/>
          <w:szCs w:val="22"/>
        </w:rPr>
        <w:t>ither the State VR Agency or the ben</w:t>
      </w:r>
      <w:r w:rsidR="00206E4B" w:rsidRPr="00D311BD">
        <w:rPr>
          <w:sz w:val="22"/>
          <w:szCs w:val="22"/>
        </w:rPr>
        <w:t xml:space="preserve">eficiary can respond to the TPR, </w:t>
      </w:r>
      <w:r w:rsidR="00535953" w:rsidRPr="00D311BD">
        <w:rPr>
          <w:sz w:val="22"/>
          <w:szCs w:val="22"/>
        </w:rPr>
        <w:t xml:space="preserve">it is </w:t>
      </w:r>
      <w:r w:rsidR="00E03F33" w:rsidRPr="00D311BD">
        <w:rPr>
          <w:sz w:val="22"/>
          <w:szCs w:val="22"/>
        </w:rPr>
        <w:t xml:space="preserve">very </w:t>
      </w:r>
      <w:r w:rsidR="00535953" w:rsidRPr="00D311BD">
        <w:rPr>
          <w:sz w:val="22"/>
          <w:szCs w:val="22"/>
        </w:rPr>
        <w:t xml:space="preserve">important that </w:t>
      </w:r>
      <w:r w:rsidR="00206E4B" w:rsidRPr="00D311BD">
        <w:rPr>
          <w:sz w:val="22"/>
          <w:szCs w:val="22"/>
        </w:rPr>
        <w:t xml:space="preserve">we receive </w:t>
      </w:r>
      <w:r w:rsidR="00535953" w:rsidRPr="00D311BD">
        <w:rPr>
          <w:sz w:val="22"/>
          <w:szCs w:val="22"/>
        </w:rPr>
        <w:t xml:space="preserve">a response </w:t>
      </w:r>
      <w:r w:rsidR="00206E4B" w:rsidRPr="00D311BD">
        <w:rPr>
          <w:sz w:val="22"/>
          <w:szCs w:val="22"/>
        </w:rPr>
        <w:t xml:space="preserve">to the TPR to avoid affecting </w:t>
      </w:r>
      <w:r w:rsidR="00E03F33" w:rsidRPr="00D311BD">
        <w:rPr>
          <w:sz w:val="22"/>
          <w:szCs w:val="22"/>
        </w:rPr>
        <w:t>CDR protection for the beneficiary.</w:t>
      </w:r>
    </w:p>
    <w:p w:rsidR="00885F80" w:rsidRDefault="00885F80" w:rsidP="00885F80">
      <w:pPr>
        <w:pStyle w:val="Heading3"/>
      </w:pPr>
      <w:r>
        <w:t>Pass Only</w:t>
      </w:r>
    </w:p>
    <w:p w:rsidR="00885F80" w:rsidRPr="00D311BD" w:rsidRDefault="00885F80" w:rsidP="00885F80">
      <w:pPr>
        <w:rPr>
          <w:sz w:val="22"/>
          <w:szCs w:val="22"/>
        </w:rPr>
      </w:pPr>
      <w:r w:rsidRPr="00D311BD">
        <w:rPr>
          <w:sz w:val="22"/>
          <w:szCs w:val="22"/>
        </w:rPr>
        <w:t>State VR Agencies</w:t>
      </w:r>
      <w:r w:rsidR="003152CE" w:rsidRPr="00D311BD">
        <w:rPr>
          <w:sz w:val="22"/>
          <w:szCs w:val="22"/>
        </w:rPr>
        <w:t xml:space="preserve"> </w:t>
      </w:r>
      <w:r w:rsidRPr="00D311BD">
        <w:rPr>
          <w:sz w:val="22"/>
          <w:szCs w:val="22"/>
        </w:rPr>
        <w:t>will be able to pass TPRs f</w:t>
      </w:r>
      <w:r w:rsidR="007F2385" w:rsidRPr="00D311BD">
        <w:rPr>
          <w:sz w:val="22"/>
          <w:szCs w:val="22"/>
        </w:rPr>
        <w:t>or their clients via the Portal</w:t>
      </w:r>
      <w:r w:rsidR="003152CE" w:rsidRPr="00D311BD">
        <w:rPr>
          <w:sz w:val="22"/>
          <w:szCs w:val="22"/>
        </w:rPr>
        <w:t xml:space="preserve"> - </w:t>
      </w:r>
      <w:r w:rsidR="003152CE" w:rsidRPr="00D311BD">
        <w:rPr>
          <w:b/>
          <w:sz w:val="22"/>
          <w:szCs w:val="22"/>
        </w:rPr>
        <w:t>they will not be able to fail them</w:t>
      </w:r>
      <w:r w:rsidR="007F2385" w:rsidRPr="00D311BD">
        <w:rPr>
          <w:sz w:val="22"/>
          <w:szCs w:val="22"/>
        </w:rPr>
        <w:t>.  If the VR does not have sufficient information to make a determination</w:t>
      </w:r>
      <w:r w:rsidR="003152CE" w:rsidRPr="00D311BD">
        <w:rPr>
          <w:sz w:val="22"/>
          <w:szCs w:val="22"/>
        </w:rPr>
        <w:t>,</w:t>
      </w:r>
      <w:r w:rsidR="00A572F5" w:rsidRPr="00D311BD">
        <w:rPr>
          <w:sz w:val="22"/>
          <w:szCs w:val="22"/>
        </w:rPr>
        <w:t xml:space="preserve"> we will make th</w:t>
      </w:r>
      <w:r w:rsidR="00206E4B" w:rsidRPr="00D311BD">
        <w:rPr>
          <w:sz w:val="22"/>
          <w:szCs w:val="22"/>
        </w:rPr>
        <w:t>e decision</w:t>
      </w:r>
      <w:r w:rsidR="00A572F5" w:rsidRPr="00D311BD">
        <w:rPr>
          <w:sz w:val="22"/>
          <w:szCs w:val="22"/>
        </w:rPr>
        <w:t xml:space="preserve"> based on </w:t>
      </w:r>
      <w:r w:rsidR="00206E4B" w:rsidRPr="00D311BD">
        <w:rPr>
          <w:sz w:val="22"/>
          <w:szCs w:val="22"/>
        </w:rPr>
        <w:t>the beneficiary’s response to TPM.</w:t>
      </w:r>
      <w:r w:rsidR="007F2385" w:rsidRPr="00D311BD">
        <w:rPr>
          <w:sz w:val="22"/>
          <w:szCs w:val="22"/>
        </w:rPr>
        <w:t xml:space="preserve">  Likewise,</w:t>
      </w:r>
      <w:r w:rsidRPr="00D311BD">
        <w:rPr>
          <w:sz w:val="22"/>
          <w:szCs w:val="22"/>
        </w:rPr>
        <w:t xml:space="preserve"> if the State VR Agency determines the client will fail the TPR, the</w:t>
      </w:r>
      <w:r w:rsidR="003152CE" w:rsidRPr="00D311BD">
        <w:rPr>
          <w:sz w:val="22"/>
          <w:szCs w:val="22"/>
        </w:rPr>
        <w:t xml:space="preserve">y should take no action, and </w:t>
      </w:r>
      <w:r w:rsidR="00A572F5" w:rsidRPr="00D311BD">
        <w:rPr>
          <w:sz w:val="22"/>
          <w:szCs w:val="22"/>
        </w:rPr>
        <w:t xml:space="preserve">we will make the </w:t>
      </w:r>
      <w:r w:rsidR="00553CB3" w:rsidRPr="00D311BD">
        <w:rPr>
          <w:sz w:val="22"/>
          <w:szCs w:val="22"/>
        </w:rPr>
        <w:t>decision</w:t>
      </w:r>
      <w:r w:rsidR="00A572F5" w:rsidRPr="00D311BD">
        <w:rPr>
          <w:sz w:val="22"/>
          <w:szCs w:val="22"/>
        </w:rPr>
        <w:t xml:space="preserve"> based on</w:t>
      </w:r>
      <w:r w:rsidR="00553CB3" w:rsidRPr="00D311BD">
        <w:rPr>
          <w:sz w:val="22"/>
          <w:szCs w:val="22"/>
        </w:rPr>
        <w:t xml:space="preserve"> the beneficiary’s response to TPM.  </w:t>
      </w:r>
      <w:r w:rsidRPr="00D311BD">
        <w:rPr>
          <w:sz w:val="22"/>
          <w:szCs w:val="22"/>
        </w:rPr>
        <w:t xml:space="preserve">TPM will then adjudicate the TPR and enter the result (pass or fail) into the system. </w:t>
      </w:r>
      <w:r w:rsidR="003152CE" w:rsidRPr="00D311BD">
        <w:rPr>
          <w:sz w:val="22"/>
          <w:szCs w:val="22"/>
        </w:rPr>
        <w:t xml:space="preserve">  VR agencies can provide a great service for their Ticket clients by checking the Portal and </w:t>
      </w:r>
      <w:r w:rsidR="003152CE" w:rsidRPr="00D311BD">
        <w:rPr>
          <w:sz w:val="22"/>
          <w:szCs w:val="22"/>
        </w:rPr>
        <w:lastRenderedPageBreak/>
        <w:t>passing their clients as soon as possible.  Many beneficiaries are unable to understand our notices, or are afraid to read them at all, and may fail TPR without your assistance.</w:t>
      </w:r>
    </w:p>
    <w:p w:rsidR="0024334E" w:rsidRDefault="00BC774C" w:rsidP="0024334E">
      <w:pPr>
        <w:pStyle w:val="Heading2"/>
      </w:pPr>
      <w:r>
        <w:t>Important Clarifications</w:t>
      </w:r>
    </w:p>
    <w:p w:rsidR="00CD192C" w:rsidRDefault="00CD192C" w:rsidP="00CD192C">
      <w:pPr>
        <w:pStyle w:val="Heading3"/>
      </w:pPr>
      <w:r>
        <w:t>Who receives a TPR?</w:t>
      </w:r>
    </w:p>
    <w:p w:rsidR="00CD192C" w:rsidRPr="00D311BD" w:rsidRDefault="00CD192C" w:rsidP="00CD192C">
      <w:pPr>
        <w:rPr>
          <w:sz w:val="22"/>
          <w:szCs w:val="22"/>
        </w:rPr>
      </w:pPr>
      <w:r w:rsidRPr="00D311BD">
        <w:rPr>
          <w:sz w:val="22"/>
          <w:szCs w:val="22"/>
        </w:rPr>
        <w:t>Not all beneficiaries will receive a TPR</w:t>
      </w:r>
      <w:r w:rsidR="00E90EC7" w:rsidRPr="00D311BD">
        <w:rPr>
          <w:sz w:val="22"/>
          <w:szCs w:val="22"/>
        </w:rPr>
        <w:t>.</w:t>
      </w:r>
      <w:r w:rsidRPr="00D311BD">
        <w:rPr>
          <w:sz w:val="22"/>
          <w:szCs w:val="22"/>
        </w:rPr>
        <w:t xml:space="preserve"> </w:t>
      </w:r>
      <w:r w:rsidR="007F2385" w:rsidRPr="00D311BD">
        <w:rPr>
          <w:sz w:val="22"/>
          <w:szCs w:val="22"/>
        </w:rPr>
        <w:t xml:space="preserve">SSA systems </w:t>
      </w:r>
      <w:r w:rsidR="00E90EC7" w:rsidRPr="00D311BD">
        <w:rPr>
          <w:sz w:val="22"/>
          <w:szCs w:val="22"/>
        </w:rPr>
        <w:t xml:space="preserve">attempts to </w:t>
      </w:r>
      <w:r w:rsidR="007F2385" w:rsidRPr="00D311BD">
        <w:rPr>
          <w:sz w:val="22"/>
          <w:szCs w:val="22"/>
        </w:rPr>
        <w:t>identify those who have suffi</w:t>
      </w:r>
      <w:r w:rsidR="00E90EC7" w:rsidRPr="00D311BD">
        <w:rPr>
          <w:sz w:val="22"/>
          <w:szCs w:val="22"/>
        </w:rPr>
        <w:t>cient enough earnings</w:t>
      </w:r>
      <w:r w:rsidR="007F2385" w:rsidRPr="00D311BD">
        <w:rPr>
          <w:sz w:val="22"/>
          <w:szCs w:val="22"/>
        </w:rPr>
        <w:t xml:space="preserve"> </w:t>
      </w:r>
      <w:r w:rsidR="00E90EC7" w:rsidRPr="00D311BD">
        <w:rPr>
          <w:sz w:val="22"/>
          <w:szCs w:val="22"/>
        </w:rPr>
        <w:t xml:space="preserve">during the review period to pass the TPR </w:t>
      </w:r>
      <w:r w:rsidR="007F2385" w:rsidRPr="00D311BD">
        <w:rPr>
          <w:sz w:val="22"/>
          <w:szCs w:val="22"/>
        </w:rPr>
        <w:t>and award</w:t>
      </w:r>
      <w:r w:rsidR="00E90EC7" w:rsidRPr="00D311BD">
        <w:rPr>
          <w:sz w:val="22"/>
          <w:szCs w:val="22"/>
        </w:rPr>
        <w:t>s</w:t>
      </w:r>
      <w:r w:rsidR="007F2385" w:rsidRPr="00D311BD">
        <w:rPr>
          <w:sz w:val="22"/>
          <w:szCs w:val="22"/>
        </w:rPr>
        <w:t xml:space="preserve"> a pass to the beneficiary.  For </w:t>
      </w:r>
      <w:r w:rsidR="00E90EC7" w:rsidRPr="00D311BD">
        <w:rPr>
          <w:sz w:val="22"/>
          <w:szCs w:val="22"/>
        </w:rPr>
        <w:t>beneficiaries</w:t>
      </w:r>
      <w:r w:rsidR="007F2385" w:rsidRPr="00D311BD">
        <w:rPr>
          <w:sz w:val="22"/>
          <w:szCs w:val="22"/>
        </w:rPr>
        <w:t xml:space="preserve"> who</w:t>
      </w:r>
      <w:r w:rsidR="00E90EC7" w:rsidRPr="00D311BD">
        <w:rPr>
          <w:sz w:val="22"/>
          <w:szCs w:val="22"/>
        </w:rPr>
        <w:t xml:space="preserve">se earnings cannot be verified or are not </w:t>
      </w:r>
      <w:r w:rsidR="007F2385" w:rsidRPr="00D311BD">
        <w:rPr>
          <w:sz w:val="22"/>
          <w:szCs w:val="22"/>
        </w:rPr>
        <w:t xml:space="preserve">sufficient enough </w:t>
      </w:r>
      <w:r w:rsidR="00E90EC7" w:rsidRPr="00D311BD">
        <w:rPr>
          <w:sz w:val="22"/>
          <w:szCs w:val="22"/>
        </w:rPr>
        <w:t xml:space="preserve">to pass, they </w:t>
      </w:r>
      <w:r w:rsidR="007F2385" w:rsidRPr="00D311BD">
        <w:rPr>
          <w:sz w:val="22"/>
          <w:szCs w:val="22"/>
        </w:rPr>
        <w:t>receive a TPR notice (1375)</w:t>
      </w:r>
      <w:r w:rsidR="00E90EC7" w:rsidRPr="00D311BD">
        <w:rPr>
          <w:sz w:val="22"/>
          <w:szCs w:val="22"/>
        </w:rPr>
        <w:t xml:space="preserve">. </w:t>
      </w:r>
    </w:p>
    <w:p w:rsidR="00BC774C" w:rsidRDefault="00BC774C" w:rsidP="00BC774C">
      <w:pPr>
        <w:pStyle w:val="Heading3"/>
      </w:pPr>
      <w:r>
        <w:t>In</w:t>
      </w:r>
      <w:r w:rsidR="00E90EC7">
        <w:t xml:space="preserve"> U</w:t>
      </w:r>
      <w:r>
        <w:t>se vs</w:t>
      </w:r>
      <w:r w:rsidR="003C7F10">
        <w:t>.</w:t>
      </w:r>
      <w:r>
        <w:t xml:space="preserve"> </w:t>
      </w:r>
      <w:r w:rsidR="00E90EC7">
        <w:t>In</w:t>
      </w:r>
      <w:r>
        <w:t>-</w:t>
      </w:r>
      <w:r w:rsidR="00E90EC7">
        <w:t>U</w:t>
      </w:r>
      <w:r>
        <w:t>se SVR</w:t>
      </w:r>
    </w:p>
    <w:p w:rsidR="003C7F10" w:rsidRPr="00D311BD" w:rsidRDefault="003C7F10" w:rsidP="00BC774C">
      <w:pPr>
        <w:rPr>
          <w:sz w:val="22"/>
          <w:szCs w:val="22"/>
        </w:rPr>
      </w:pPr>
      <w:r w:rsidRPr="00D311BD">
        <w:rPr>
          <w:b/>
          <w:sz w:val="22"/>
          <w:szCs w:val="22"/>
        </w:rPr>
        <w:t>In</w:t>
      </w:r>
      <w:r w:rsidR="00E90EC7" w:rsidRPr="00D311BD">
        <w:rPr>
          <w:b/>
          <w:sz w:val="22"/>
          <w:szCs w:val="22"/>
        </w:rPr>
        <w:t xml:space="preserve"> </w:t>
      </w:r>
      <w:r w:rsidRPr="00D311BD">
        <w:rPr>
          <w:b/>
          <w:sz w:val="22"/>
          <w:szCs w:val="22"/>
        </w:rPr>
        <w:t>use</w:t>
      </w:r>
      <w:r w:rsidR="007F2385" w:rsidRPr="00D311BD">
        <w:rPr>
          <w:b/>
          <w:sz w:val="22"/>
          <w:szCs w:val="22"/>
        </w:rPr>
        <w:t>/not in</w:t>
      </w:r>
      <w:r w:rsidR="00E90EC7" w:rsidRPr="00D311BD">
        <w:rPr>
          <w:b/>
          <w:sz w:val="22"/>
          <w:szCs w:val="22"/>
        </w:rPr>
        <w:t xml:space="preserve"> </w:t>
      </w:r>
      <w:r w:rsidR="007F2385" w:rsidRPr="00D311BD">
        <w:rPr>
          <w:b/>
          <w:sz w:val="22"/>
          <w:szCs w:val="22"/>
        </w:rPr>
        <w:t>use</w:t>
      </w:r>
      <w:r w:rsidRPr="00D311BD">
        <w:rPr>
          <w:sz w:val="22"/>
          <w:szCs w:val="22"/>
        </w:rPr>
        <w:t xml:space="preserve"> refers to </w:t>
      </w:r>
      <w:r w:rsidR="007F2385" w:rsidRPr="00D311BD">
        <w:rPr>
          <w:sz w:val="22"/>
          <w:szCs w:val="22"/>
        </w:rPr>
        <w:t xml:space="preserve">the ticket status.  If the ticket is </w:t>
      </w:r>
      <w:r w:rsidR="00E90EC7" w:rsidRPr="00D311BD">
        <w:rPr>
          <w:sz w:val="22"/>
          <w:szCs w:val="22"/>
        </w:rPr>
        <w:t>I</w:t>
      </w:r>
      <w:r w:rsidR="007F2385" w:rsidRPr="00D311BD">
        <w:rPr>
          <w:sz w:val="22"/>
          <w:szCs w:val="22"/>
        </w:rPr>
        <w:t>n</w:t>
      </w:r>
      <w:r w:rsidR="00E90EC7" w:rsidRPr="00D311BD">
        <w:rPr>
          <w:sz w:val="22"/>
          <w:szCs w:val="22"/>
        </w:rPr>
        <w:t xml:space="preserve"> U</w:t>
      </w:r>
      <w:r w:rsidR="007F2385" w:rsidRPr="00D311BD">
        <w:rPr>
          <w:sz w:val="22"/>
          <w:szCs w:val="22"/>
        </w:rPr>
        <w:t>se</w:t>
      </w:r>
      <w:r w:rsidR="00E90EC7" w:rsidRPr="00D311BD">
        <w:rPr>
          <w:sz w:val="22"/>
          <w:szCs w:val="22"/>
        </w:rPr>
        <w:t>,</w:t>
      </w:r>
      <w:r w:rsidR="007F2385" w:rsidRPr="00D311BD">
        <w:rPr>
          <w:sz w:val="22"/>
          <w:szCs w:val="22"/>
        </w:rPr>
        <w:t xml:space="preserve"> the beneficiary currently h</w:t>
      </w:r>
      <w:r w:rsidR="007F2385" w:rsidRPr="00D311BD">
        <w:rPr>
          <w:rFonts w:cs="Arial"/>
          <w:sz w:val="22"/>
          <w:szCs w:val="22"/>
        </w:rPr>
        <w:t xml:space="preserve">as CDR protection.  If the ticket is </w:t>
      </w:r>
      <w:r w:rsidR="00E90EC7" w:rsidRPr="00D311BD">
        <w:rPr>
          <w:rFonts w:cs="Arial"/>
          <w:sz w:val="22"/>
          <w:szCs w:val="22"/>
        </w:rPr>
        <w:t>N</w:t>
      </w:r>
      <w:r w:rsidR="007F2385" w:rsidRPr="00D311BD">
        <w:rPr>
          <w:rFonts w:cs="Arial"/>
          <w:sz w:val="22"/>
          <w:szCs w:val="22"/>
        </w:rPr>
        <w:t xml:space="preserve">ot </w:t>
      </w:r>
      <w:r w:rsidR="00E90EC7" w:rsidRPr="00D311BD">
        <w:rPr>
          <w:rFonts w:cs="Arial"/>
          <w:sz w:val="22"/>
          <w:szCs w:val="22"/>
        </w:rPr>
        <w:t>I</w:t>
      </w:r>
      <w:r w:rsidR="007F2385" w:rsidRPr="00D311BD">
        <w:rPr>
          <w:rFonts w:cs="Arial"/>
          <w:sz w:val="22"/>
          <w:szCs w:val="22"/>
        </w:rPr>
        <w:t>n</w:t>
      </w:r>
      <w:r w:rsidR="005552C5" w:rsidRPr="00D311BD">
        <w:rPr>
          <w:rFonts w:cs="Arial"/>
          <w:sz w:val="22"/>
          <w:szCs w:val="22"/>
        </w:rPr>
        <w:t>-</w:t>
      </w:r>
      <w:r w:rsidR="00E90EC7" w:rsidRPr="00D311BD">
        <w:rPr>
          <w:rFonts w:cs="Arial"/>
          <w:sz w:val="22"/>
          <w:szCs w:val="22"/>
        </w:rPr>
        <w:t>U</w:t>
      </w:r>
      <w:r w:rsidR="007F2385" w:rsidRPr="00D311BD">
        <w:rPr>
          <w:rFonts w:cs="Arial"/>
          <w:sz w:val="22"/>
          <w:szCs w:val="22"/>
        </w:rPr>
        <w:t>se</w:t>
      </w:r>
      <w:r w:rsidR="00E90EC7" w:rsidRPr="00D311BD">
        <w:rPr>
          <w:rFonts w:cs="Arial"/>
          <w:sz w:val="22"/>
          <w:szCs w:val="22"/>
        </w:rPr>
        <w:t>,</w:t>
      </w:r>
      <w:r w:rsidR="00A572F5" w:rsidRPr="00D311BD">
        <w:rPr>
          <w:rFonts w:cs="Arial"/>
          <w:sz w:val="22"/>
          <w:szCs w:val="22"/>
        </w:rPr>
        <w:t xml:space="preserve"> the beneficiary </w:t>
      </w:r>
      <w:r w:rsidR="007F2385" w:rsidRPr="00D311BD">
        <w:rPr>
          <w:rFonts w:cs="Arial"/>
          <w:color w:val="000000"/>
          <w:sz w:val="22"/>
          <w:szCs w:val="22"/>
        </w:rPr>
        <w:t>currently does not have CDR protection</w:t>
      </w:r>
      <w:r w:rsidR="00E90EC7" w:rsidRPr="00D311BD">
        <w:rPr>
          <w:rFonts w:cs="Arial"/>
          <w:color w:val="000000"/>
          <w:sz w:val="22"/>
          <w:szCs w:val="22"/>
        </w:rPr>
        <w:t xml:space="preserve">. </w:t>
      </w:r>
      <w:r w:rsidR="00F20E1A" w:rsidRPr="00D311BD">
        <w:rPr>
          <w:rFonts w:cs="Arial"/>
          <w:color w:val="000000"/>
          <w:sz w:val="22"/>
          <w:szCs w:val="22"/>
        </w:rPr>
        <w:t xml:space="preserve">If a beneficiary fails a TPR the ticket does not automatically go into </w:t>
      </w:r>
      <w:r w:rsidR="00E90EC7" w:rsidRPr="00D311BD">
        <w:rPr>
          <w:rFonts w:cs="Arial"/>
          <w:color w:val="000000"/>
          <w:sz w:val="22"/>
          <w:szCs w:val="22"/>
        </w:rPr>
        <w:t xml:space="preserve">Not </w:t>
      </w:r>
      <w:proofErr w:type="gramStart"/>
      <w:r w:rsidR="00E90EC7" w:rsidRPr="00D311BD">
        <w:rPr>
          <w:rFonts w:cs="Arial"/>
          <w:color w:val="000000"/>
          <w:sz w:val="22"/>
          <w:szCs w:val="22"/>
        </w:rPr>
        <w:t>In</w:t>
      </w:r>
      <w:proofErr w:type="gramEnd"/>
      <w:r w:rsidR="00E90EC7" w:rsidRPr="00D311BD">
        <w:rPr>
          <w:rFonts w:cs="Arial"/>
          <w:color w:val="000000"/>
          <w:sz w:val="22"/>
          <w:szCs w:val="22"/>
        </w:rPr>
        <w:t xml:space="preserve"> Use </w:t>
      </w:r>
      <w:r w:rsidR="00F20E1A" w:rsidRPr="00D311BD">
        <w:rPr>
          <w:rFonts w:cs="Arial"/>
          <w:color w:val="000000"/>
          <w:sz w:val="22"/>
          <w:szCs w:val="22"/>
        </w:rPr>
        <w:t>status, but rather is delayed to allow the beneficiary time to appeal the decision.</w:t>
      </w:r>
    </w:p>
    <w:p w:rsidR="003C7F10" w:rsidRPr="00D311BD" w:rsidRDefault="00E90EC7" w:rsidP="00BC774C">
      <w:pPr>
        <w:rPr>
          <w:sz w:val="22"/>
          <w:szCs w:val="22"/>
        </w:rPr>
      </w:pPr>
      <w:r w:rsidRPr="00D311BD">
        <w:rPr>
          <w:b/>
          <w:sz w:val="22"/>
          <w:szCs w:val="22"/>
        </w:rPr>
        <w:t>In-Use</w:t>
      </w:r>
      <w:r w:rsidR="003C7F10" w:rsidRPr="00D311BD">
        <w:rPr>
          <w:sz w:val="22"/>
          <w:szCs w:val="22"/>
        </w:rPr>
        <w:t xml:space="preserve"> </w:t>
      </w:r>
      <w:r w:rsidR="003C7F10" w:rsidRPr="00D311BD">
        <w:rPr>
          <w:b/>
          <w:sz w:val="22"/>
          <w:szCs w:val="22"/>
        </w:rPr>
        <w:t>SVR</w:t>
      </w:r>
      <w:r w:rsidR="003C7F10" w:rsidRPr="00D311BD">
        <w:rPr>
          <w:sz w:val="22"/>
          <w:szCs w:val="22"/>
        </w:rPr>
        <w:t xml:space="preserve"> refers to whether the </w:t>
      </w:r>
      <w:r w:rsidR="007D0A57" w:rsidRPr="00D311BD">
        <w:rPr>
          <w:sz w:val="22"/>
          <w:szCs w:val="22"/>
        </w:rPr>
        <w:t>beneficiary</w:t>
      </w:r>
      <w:r w:rsidR="003C7F10" w:rsidRPr="00D311BD">
        <w:rPr>
          <w:sz w:val="22"/>
          <w:szCs w:val="22"/>
        </w:rPr>
        <w:t xml:space="preserve"> has their ticket with a State VR Agency</w:t>
      </w:r>
      <w:r w:rsidRPr="00D311BD">
        <w:rPr>
          <w:sz w:val="22"/>
          <w:szCs w:val="22"/>
        </w:rPr>
        <w:t xml:space="preserve"> under </w:t>
      </w:r>
      <w:r w:rsidR="00850ECB" w:rsidRPr="00D311BD">
        <w:rPr>
          <w:sz w:val="22"/>
          <w:szCs w:val="22"/>
        </w:rPr>
        <w:t xml:space="preserve">the </w:t>
      </w:r>
      <w:r w:rsidRPr="00D311BD">
        <w:rPr>
          <w:sz w:val="22"/>
          <w:szCs w:val="22"/>
        </w:rPr>
        <w:t>Cost Reimbursement</w:t>
      </w:r>
      <w:r w:rsidR="00850ECB" w:rsidRPr="00D311BD">
        <w:rPr>
          <w:sz w:val="22"/>
          <w:szCs w:val="22"/>
        </w:rPr>
        <w:t xml:space="preserve"> payment system,</w:t>
      </w:r>
      <w:r w:rsidR="003C7F10" w:rsidRPr="00D311BD">
        <w:rPr>
          <w:sz w:val="22"/>
          <w:szCs w:val="22"/>
        </w:rPr>
        <w:t xml:space="preserve"> and is currently receiving services</w:t>
      </w:r>
      <w:r w:rsidR="00D132B4">
        <w:rPr>
          <w:sz w:val="22"/>
          <w:szCs w:val="22"/>
        </w:rPr>
        <w:t>. Passing or failing a TPR</w:t>
      </w:r>
      <w:r w:rsidR="00A572F5" w:rsidRPr="00D311BD">
        <w:rPr>
          <w:sz w:val="22"/>
          <w:szCs w:val="22"/>
        </w:rPr>
        <w:t xml:space="preserve"> </w:t>
      </w:r>
      <w:r w:rsidR="00850ECB" w:rsidRPr="00D311BD">
        <w:rPr>
          <w:sz w:val="22"/>
          <w:szCs w:val="22"/>
        </w:rPr>
        <w:t>will not change</w:t>
      </w:r>
      <w:r w:rsidR="00C74D77" w:rsidRPr="00D311BD">
        <w:rPr>
          <w:sz w:val="22"/>
          <w:szCs w:val="22"/>
        </w:rPr>
        <w:t xml:space="preserve"> the assignment status</w:t>
      </w:r>
      <w:r w:rsidR="00850ECB" w:rsidRPr="00D311BD">
        <w:rPr>
          <w:sz w:val="22"/>
          <w:szCs w:val="22"/>
        </w:rPr>
        <w:t xml:space="preserve"> of</w:t>
      </w:r>
      <w:r w:rsidR="00C74D77" w:rsidRPr="00D311BD">
        <w:rPr>
          <w:sz w:val="22"/>
          <w:szCs w:val="22"/>
        </w:rPr>
        <w:t xml:space="preserve"> In-Use SVR.</w:t>
      </w:r>
    </w:p>
    <w:p w:rsidR="00BF3A57" w:rsidRDefault="00BF3A57" w:rsidP="00BF3A57">
      <w:pPr>
        <w:pStyle w:val="Heading2"/>
      </w:pPr>
      <w:r>
        <w:t>FAQs</w:t>
      </w:r>
    </w:p>
    <w:p w:rsidR="00BF3A57" w:rsidRPr="00D311BD" w:rsidRDefault="00BF3A57" w:rsidP="00BF3A57">
      <w:pPr>
        <w:pStyle w:val="ListParagraph"/>
        <w:widowControl/>
        <w:numPr>
          <w:ilvl w:val="0"/>
          <w:numId w:val="23"/>
        </w:numPr>
        <w:autoSpaceDE/>
        <w:autoSpaceDN/>
        <w:adjustRightInd/>
        <w:spacing w:before="0" w:line="240" w:lineRule="auto"/>
        <w:contextualSpacing/>
        <w:rPr>
          <w:rFonts w:eastAsia="Times New Roman" w:cs="Arial"/>
          <w:sz w:val="22"/>
          <w:szCs w:val="22"/>
        </w:rPr>
      </w:pPr>
      <w:r w:rsidRPr="00D311BD">
        <w:rPr>
          <w:rFonts w:eastAsia="Times New Roman" w:cs="Arial"/>
          <w:color w:val="000000"/>
          <w:sz w:val="22"/>
          <w:szCs w:val="22"/>
        </w:rPr>
        <w:t>Historically only 20 percent of beneficiaries pass TPRs, is SSA considering changing the criteria for TPR?  How many of that states look at and use this percentage?</w:t>
      </w:r>
    </w:p>
    <w:p w:rsidR="00A572F5" w:rsidRPr="00D311BD" w:rsidRDefault="00A572F5" w:rsidP="00A572F5">
      <w:pPr>
        <w:spacing w:line="240" w:lineRule="auto"/>
        <w:ind w:left="720"/>
        <w:rPr>
          <w:rFonts w:eastAsia="Times New Roman" w:cs="Arial"/>
          <w:bCs/>
          <w:color w:val="FF0000"/>
          <w:sz w:val="22"/>
          <w:szCs w:val="22"/>
        </w:rPr>
      </w:pPr>
      <w:r>
        <w:rPr>
          <w:rFonts w:eastAsia="Times New Roman" w:cs="Arial"/>
          <w:b/>
          <w:bCs/>
          <w:color w:val="FF0000"/>
          <w:sz w:val="24"/>
        </w:rPr>
        <w:t>SSA-</w:t>
      </w:r>
      <w:r w:rsidRPr="00D311BD">
        <w:rPr>
          <w:rFonts w:eastAsia="Times New Roman" w:cs="Arial"/>
          <w:bCs/>
          <w:color w:val="FF0000"/>
          <w:sz w:val="22"/>
          <w:szCs w:val="22"/>
        </w:rPr>
        <w:t>We are not currently considering changes to the TPR criteria, as they are prescribed by regulations.  We do not know how many states look at the percentage.</w:t>
      </w:r>
    </w:p>
    <w:p w:rsidR="00BF3A57" w:rsidRPr="004A4C64" w:rsidRDefault="00BF3A57" w:rsidP="00BF3A57">
      <w:pPr>
        <w:pStyle w:val="ListParagraph"/>
        <w:widowControl/>
        <w:autoSpaceDE/>
        <w:autoSpaceDN/>
        <w:adjustRightInd/>
        <w:spacing w:before="0" w:line="240" w:lineRule="auto"/>
        <w:ind w:left="720"/>
        <w:contextualSpacing/>
        <w:rPr>
          <w:rFonts w:eastAsia="Times New Roman" w:cs="Arial"/>
          <w:sz w:val="24"/>
        </w:rPr>
      </w:pPr>
    </w:p>
    <w:p w:rsidR="00BF3A57" w:rsidRPr="00D311BD" w:rsidRDefault="00BF3A57" w:rsidP="00BF3A57">
      <w:pPr>
        <w:pStyle w:val="ListParagraph"/>
        <w:widowControl/>
        <w:numPr>
          <w:ilvl w:val="0"/>
          <w:numId w:val="23"/>
        </w:numPr>
        <w:autoSpaceDE/>
        <w:autoSpaceDN/>
        <w:adjustRightInd/>
        <w:spacing w:before="0" w:line="240" w:lineRule="auto"/>
        <w:contextualSpacing/>
        <w:rPr>
          <w:rFonts w:eastAsia="Times New Roman" w:cs="Arial"/>
          <w:sz w:val="22"/>
          <w:szCs w:val="22"/>
        </w:rPr>
      </w:pPr>
      <w:r w:rsidRPr="00D311BD">
        <w:rPr>
          <w:rFonts w:eastAsia="Times New Roman" w:cs="Arial"/>
          <w:color w:val="000000"/>
          <w:sz w:val="22"/>
          <w:szCs w:val="22"/>
        </w:rPr>
        <w:t>Some VR Agencies made the decision to not assist with TPRs (opt-out) in the past based on how much time they take and how few people seemed to be passing. Is that percentage across the boards and related to ENs as well?</w:t>
      </w:r>
    </w:p>
    <w:p w:rsidR="00BF3A57" w:rsidRPr="00D311BD" w:rsidRDefault="00BF3A57" w:rsidP="00BF3A57">
      <w:pPr>
        <w:spacing w:line="240" w:lineRule="auto"/>
        <w:ind w:left="720"/>
        <w:rPr>
          <w:rFonts w:eastAsia="Times New Roman" w:cs="Arial"/>
          <w:color w:val="FF0000"/>
          <w:sz w:val="22"/>
          <w:szCs w:val="22"/>
        </w:rPr>
      </w:pPr>
      <w:r w:rsidRPr="00D311BD">
        <w:rPr>
          <w:rFonts w:eastAsia="Times New Roman" w:cs="Arial"/>
          <w:b/>
          <w:bCs/>
          <w:color w:val="FF0000"/>
          <w:sz w:val="22"/>
          <w:szCs w:val="22"/>
        </w:rPr>
        <w:t>SSA</w:t>
      </w:r>
      <w:r w:rsidRPr="00D311BD">
        <w:rPr>
          <w:rFonts w:eastAsia="Times New Roman" w:cs="Arial"/>
          <w:color w:val="FF0000"/>
          <w:sz w:val="22"/>
          <w:szCs w:val="22"/>
        </w:rPr>
        <w:t xml:space="preserve">: </w:t>
      </w:r>
      <w:r w:rsidR="008F7A70" w:rsidRPr="00D311BD">
        <w:rPr>
          <w:rFonts w:eastAsia="Times New Roman" w:cs="Arial"/>
          <w:color w:val="FF0000"/>
          <w:sz w:val="22"/>
          <w:szCs w:val="22"/>
        </w:rPr>
        <w:t>SSA will not use these percentages with the Portal.  As noted, the Portal provides greater efficiencies in managing TPR, and provides VR agencies with the opportunity to pass their Ticket clients</w:t>
      </w:r>
      <w:r w:rsidR="00734673" w:rsidRPr="00D311BD">
        <w:rPr>
          <w:rFonts w:eastAsia="Times New Roman" w:cs="Arial"/>
          <w:color w:val="FF0000"/>
          <w:sz w:val="22"/>
          <w:szCs w:val="22"/>
        </w:rPr>
        <w:t>.</w:t>
      </w:r>
      <w:r w:rsidR="008F7A70" w:rsidRPr="00D311BD">
        <w:rPr>
          <w:rFonts w:eastAsia="Times New Roman" w:cs="Arial"/>
          <w:color w:val="FF0000"/>
          <w:sz w:val="22"/>
          <w:szCs w:val="22"/>
        </w:rPr>
        <w:t xml:space="preserve"> .</w:t>
      </w:r>
    </w:p>
    <w:p w:rsidR="00BF3A57" w:rsidRPr="00D311BD" w:rsidRDefault="00BF3A57" w:rsidP="00BF3A57">
      <w:pPr>
        <w:pStyle w:val="ListParagraph"/>
        <w:widowControl/>
        <w:autoSpaceDE/>
        <w:autoSpaceDN/>
        <w:adjustRightInd/>
        <w:spacing w:before="0" w:line="240" w:lineRule="auto"/>
        <w:ind w:left="720"/>
        <w:contextualSpacing/>
        <w:rPr>
          <w:rFonts w:eastAsia="Times New Roman" w:cs="Arial"/>
          <w:sz w:val="22"/>
          <w:szCs w:val="22"/>
        </w:rPr>
      </w:pPr>
    </w:p>
    <w:p w:rsidR="00BF3A57" w:rsidRPr="00D311BD" w:rsidRDefault="00BF3A57" w:rsidP="00BF3A57">
      <w:pPr>
        <w:pStyle w:val="ListParagraph"/>
        <w:widowControl/>
        <w:numPr>
          <w:ilvl w:val="0"/>
          <w:numId w:val="23"/>
        </w:numPr>
        <w:autoSpaceDE/>
        <w:autoSpaceDN/>
        <w:adjustRightInd/>
        <w:spacing w:before="0" w:line="240" w:lineRule="auto"/>
        <w:contextualSpacing/>
        <w:rPr>
          <w:rFonts w:eastAsia="Times New Roman" w:cs="Arial"/>
          <w:sz w:val="22"/>
          <w:szCs w:val="22"/>
        </w:rPr>
      </w:pPr>
      <w:r w:rsidRPr="00D311BD">
        <w:rPr>
          <w:rFonts w:eastAsia="Times New Roman" w:cs="Arial"/>
          <w:sz w:val="22"/>
          <w:szCs w:val="22"/>
        </w:rPr>
        <w:lastRenderedPageBreak/>
        <w:t>If a beneficiary fails a TPR, is the VR still eligible for cost reimbursement (CR) payments for services provided during the period that the case was not in-use?  Also, will these cases be sent back to VR through legacy in-use reporting?</w:t>
      </w:r>
    </w:p>
    <w:p w:rsidR="00BF3A57" w:rsidRPr="00D311BD" w:rsidRDefault="00D311BD" w:rsidP="00BF3A57">
      <w:pPr>
        <w:pStyle w:val="ListParagraph"/>
        <w:ind w:left="720"/>
        <w:rPr>
          <w:rFonts w:eastAsia="Times New Roman" w:cs="Arial"/>
          <w:color w:val="FF0000"/>
          <w:sz w:val="22"/>
          <w:szCs w:val="22"/>
        </w:rPr>
      </w:pPr>
      <w:r w:rsidRPr="00D311BD">
        <w:rPr>
          <w:rFonts w:eastAsia="Times New Roman" w:cs="Arial"/>
          <w:b/>
          <w:color w:val="FF0000"/>
          <w:sz w:val="22"/>
          <w:szCs w:val="22"/>
        </w:rPr>
        <w:t>SSA</w:t>
      </w:r>
      <w:r w:rsidR="00BF3A57" w:rsidRPr="00D311BD">
        <w:rPr>
          <w:rFonts w:eastAsia="Times New Roman" w:cs="Arial"/>
          <w:b/>
          <w:color w:val="FF0000"/>
          <w:sz w:val="22"/>
          <w:szCs w:val="22"/>
        </w:rPr>
        <w:t xml:space="preserve">: </w:t>
      </w:r>
      <w:r w:rsidR="00BF3A57" w:rsidRPr="00D311BD">
        <w:rPr>
          <w:rFonts w:eastAsia="Times New Roman" w:cs="Arial"/>
          <w:color w:val="FF0000"/>
          <w:sz w:val="22"/>
          <w:szCs w:val="22"/>
        </w:rPr>
        <w:t>CR payments will not be affected by TPR even if the beneficiary fails.  In-use SVR is not the same as In Use.  TPR will not affect the assignment status of the ticket, whether it is In-Use SVR or Assigned.</w:t>
      </w:r>
    </w:p>
    <w:p w:rsidR="00BF3A57" w:rsidRPr="00D311BD" w:rsidRDefault="00BF3A57" w:rsidP="00BF3A57">
      <w:pPr>
        <w:pStyle w:val="ListParagraph"/>
        <w:ind w:left="720"/>
        <w:rPr>
          <w:rFonts w:eastAsia="Times New Roman" w:cs="Arial"/>
          <w:sz w:val="22"/>
          <w:szCs w:val="22"/>
        </w:rPr>
      </w:pPr>
      <w:r w:rsidRPr="00D311BD">
        <w:rPr>
          <w:rFonts w:eastAsia="Times New Roman" w:cs="Arial"/>
          <w:color w:val="000000"/>
          <w:sz w:val="22"/>
          <w:szCs w:val="22"/>
        </w:rPr>
        <w:t>Will all of the TPR letters for beneficiaries in the same state be sent on the same day so that the 55 days response window will be the same?  Or will the TPR letters be staggered throughout the month?</w:t>
      </w:r>
    </w:p>
    <w:p w:rsidR="00BF3A57" w:rsidRPr="00D311BD" w:rsidRDefault="00BF3A57" w:rsidP="00BF3A57">
      <w:pPr>
        <w:widowControl/>
        <w:autoSpaceDE/>
        <w:autoSpaceDN/>
        <w:adjustRightInd/>
        <w:spacing w:before="0" w:line="240" w:lineRule="auto"/>
        <w:contextualSpacing/>
        <w:rPr>
          <w:rFonts w:eastAsia="Times New Roman" w:cs="Arial"/>
          <w:sz w:val="22"/>
          <w:szCs w:val="22"/>
        </w:rPr>
      </w:pPr>
    </w:p>
    <w:p w:rsidR="00BF3A57" w:rsidRPr="00D311BD" w:rsidRDefault="00D311BD" w:rsidP="00BF3A57">
      <w:pPr>
        <w:widowControl/>
        <w:autoSpaceDE/>
        <w:autoSpaceDN/>
        <w:adjustRightInd/>
        <w:spacing w:before="0" w:line="240" w:lineRule="auto"/>
        <w:ind w:left="720"/>
        <w:contextualSpacing/>
        <w:rPr>
          <w:rFonts w:eastAsia="Times New Roman" w:cs="Arial"/>
          <w:color w:val="FF0000"/>
          <w:sz w:val="22"/>
          <w:szCs w:val="22"/>
        </w:rPr>
      </w:pPr>
      <w:r w:rsidRPr="00D311BD">
        <w:rPr>
          <w:rFonts w:eastAsia="Times New Roman" w:cs="Arial"/>
          <w:b/>
          <w:color w:val="FF0000"/>
          <w:sz w:val="22"/>
          <w:szCs w:val="22"/>
        </w:rPr>
        <w:t>SSA</w:t>
      </w:r>
      <w:r w:rsidR="00BF3A57" w:rsidRPr="00D311BD">
        <w:rPr>
          <w:rFonts w:eastAsia="Times New Roman" w:cs="Arial"/>
          <w:b/>
          <w:color w:val="FF0000"/>
          <w:sz w:val="22"/>
          <w:szCs w:val="22"/>
        </w:rPr>
        <w:t xml:space="preserve">: </w:t>
      </w:r>
      <w:r w:rsidR="00BF3A57" w:rsidRPr="00D311BD">
        <w:rPr>
          <w:rFonts w:eastAsia="Times New Roman" w:cs="Arial"/>
          <w:color w:val="FF0000"/>
          <w:sz w:val="22"/>
          <w:szCs w:val="22"/>
        </w:rPr>
        <w:t xml:space="preserve">Beneficiaries selected within the same month and state may not be mailed at one time. Mailings are staggered throughout each month and their appearance in the portal will correspond with the selection and mailing dates. </w:t>
      </w:r>
    </w:p>
    <w:p w:rsidR="00BF3A57" w:rsidRPr="00D311BD" w:rsidRDefault="00BF3A57" w:rsidP="00BF3A57">
      <w:pPr>
        <w:pStyle w:val="ListParagraph"/>
        <w:widowControl/>
        <w:autoSpaceDE/>
        <w:autoSpaceDN/>
        <w:adjustRightInd/>
        <w:spacing w:before="0" w:line="240" w:lineRule="auto"/>
        <w:ind w:left="720"/>
        <w:contextualSpacing/>
        <w:rPr>
          <w:rFonts w:eastAsia="Times New Roman" w:cs="Arial"/>
          <w:sz w:val="22"/>
          <w:szCs w:val="22"/>
        </w:rPr>
      </w:pPr>
    </w:p>
    <w:p w:rsidR="00BF3A57" w:rsidRPr="00D311BD" w:rsidRDefault="00BF3A57" w:rsidP="00BF3A57">
      <w:pPr>
        <w:pStyle w:val="ListParagraph"/>
        <w:widowControl/>
        <w:numPr>
          <w:ilvl w:val="0"/>
          <w:numId w:val="23"/>
        </w:numPr>
        <w:autoSpaceDE/>
        <w:autoSpaceDN/>
        <w:adjustRightInd/>
        <w:spacing w:before="0" w:line="240" w:lineRule="auto"/>
        <w:contextualSpacing/>
        <w:rPr>
          <w:rFonts w:eastAsia="Times New Roman" w:cs="Arial"/>
          <w:sz w:val="22"/>
          <w:szCs w:val="22"/>
        </w:rPr>
      </w:pPr>
      <w:r w:rsidRPr="00D311BD">
        <w:rPr>
          <w:rFonts w:eastAsia="Times New Roman" w:cs="Arial"/>
          <w:sz w:val="22"/>
          <w:szCs w:val="22"/>
        </w:rPr>
        <w:t>Many VR Agencies have only one person that manages the Ticket to Work functions for all of the beneficiaries.  How will TPRs being available in the Portal impact the workload?  How does SSA suggest these VR Agencies manage the new function?</w:t>
      </w:r>
    </w:p>
    <w:p w:rsidR="00BF3A57" w:rsidRPr="00D311BD" w:rsidRDefault="00BF3A57" w:rsidP="00BF3A57">
      <w:pPr>
        <w:widowControl/>
        <w:autoSpaceDE/>
        <w:autoSpaceDN/>
        <w:adjustRightInd/>
        <w:spacing w:before="0" w:line="240" w:lineRule="auto"/>
        <w:contextualSpacing/>
        <w:rPr>
          <w:rFonts w:eastAsia="Times New Roman" w:cs="Arial"/>
          <w:sz w:val="22"/>
          <w:szCs w:val="22"/>
        </w:rPr>
      </w:pPr>
    </w:p>
    <w:p w:rsidR="00BF3A57" w:rsidRPr="00D311BD" w:rsidRDefault="00D311BD" w:rsidP="005552C5">
      <w:pPr>
        <w:widowControl/>
        <w:autoSpaceDE/>
        <w:autoSpaceDN/>
        <w:adjustRightInd/>
        <w:spacing w:before="0" w:line="240" w:lineRule="auto"/>
        <w:ind w:left="720"/>
        <w:contextualSpacing/>
        <w:rPr>
          <w:rFonts w:eastAsia="Times New Roman" w:cs="Arial"/>
          <w:color w:val="FF0000"/>
          <w:sz w:val="22"/>
          <w:szCs w:val="22"/>
        </w:rPr>
      </w:pPr>
      <w:r w:rsidRPr="00D311BD">
        <w:rPr>
          <w:rFonts w:eastAsia="Times New Roman" w:cs="Arial"/>
          <w:b/>
          <w:color w:val="FF0000"/>
          <w:sz w:val="22"/>
          <w:szCs w:val="22"/>
        </w:rPr>
        <w:t xml:space="preserve">SSA: </w:t>
      </w:r>
      <w:r w:rsidR="008F7A70" w:rsidRPr="00D311BD">
        <w:rPr>
          <w:rFonts w:eastAsia="Times New Roman" w:cs="Arial"/>
          <w:color w:val="FF0000"/>
          <w:sz w:val="22"/>
          <w:szCs w:val="22"/>
        </w:rPr>
        <w:t>As noted, the VR agencies can determine if and how often they will check the Portal to determine if we have selected any of their Ticket clients for TPR.  We have not added any additional workload for the VR agencies.</w:t>
      </w:r>
    </w:p>
    <w:p w:rsidR="005552C5" w:rsidRPr="00D311BD" w:rsidRDefault="005552C5" w:rsidP="005552C5">
      <w:pPr>
        <w:widowControl/>
        <w:autoSpaceDE/>
        <w:autoSpaceDN/>
        <w:adjustRightInd/>
        <w:spacing w:before="0" w:line="240" w:lineRule="auto"/>
        <w:ind w:left="720"/>
        <w:contextualSpacing/>
        <w:rPr>
          <w:rFonts w:eastAsia="Times New Roman" w:cs="Arial"/>
          <w:sz w:val="22"/>
          <w:szCs w:val="22"/>
        </w:rPr>
      </w:pPr>
    </w:p>
    <w:p w:rsidR="00BF3A57" w:rsidRPr="00D311BD" w:rsidRDefault="00BF3A57" w:rsidP="00BF3A57">
      <w:pPr>
        <w:pStyle w:val="ListParagraph"/>
        <w:widowControl/>
        <w:numPr>
          <w:ilvl w:val="0"/>
          <w:numId w:val="23"/>
        </w:numPr>
        <w:autoSpaceDE/>
        <w:autoSpaceDN/>
        <w:adjustRightInd/>
        <w:spacing w:before="0" w:line="240" w:lineRule="auto"/>
        <w:contextualSpacing/>
        <w:rPr>
          <w:rFonts w:eastAsia="Times New Roman" w:cs="Arial"/>
          <w:sz w:val="22"/>
          <w:szCs w:val="22"/>
        </w:rPr>
      </w:pPr>
      <w:r w:rsidRPr="00D311BD">
        <w:rPr>
          <w:rFonts w:eastAsia="Times New Roman" w:cs="Arial"/>
          <w:sz w:val="22"/>
          <w:szCs w:val="22"/>
        </w:rPr>
        <w:t>Will VR Agencies receive TPRs only if the beneficiary fails to respond?</w:t>
      </w:r>
    </w:p>
    <w:p w:rsidR="00BF3A57" w:rsidRPr="00D311BD" w:rsidRDefault="00D311BD" w:rsidP="00BF3A57">
      <w:pPr>
        <w:pStyle w:val="ListParagraph"/>
        <w:ind w:left="720"/>
        <w:rPr>
          <w:rFonts w:eastAsia="Times New Roman" w:cs="Arial"/>
          <w:color w:val="FF0000"/>
          <w:sz w:val="22"/>
          <w:szCs w:val="22"/>
        </w:rPr>
      </w:pPr>
      <w:r w:rsidRPr="00D311BD">
        <w:rPr>
          <w:rFonts w:eastAsia="Times New Roman" w:cs="Arial"/>
          <w:b/>
          <w:color w:val="FF0000"/>
          <w:sz w:val="22"/>
          <w:szCs w:val="22"/>
        </w:rPr>
        <w:t>SSA</w:t>
      </w:r>
      <w:r w:rsidR="00BF3A57" w:rsidRPr="00D311BD">
        <w:rPr>
          <w:rFonts w:eastAsia="Times New Roman" w:cs="Arial"/>
          <w:b/>
          <w:color w:val="FF0000"/>
          <w:sz w:val="22"/>
          <w:szCs w:val="22"/>
        </w:rPr>
        <w:t xml:space="preserve">: </w:t>
      </w:r>
      <w:r w:rsidR="00BF3A57" w:rsidRPr="00D311BD">
        <w:rPr>
          <w:rFonts w:eastAsia="Times New Roman" w:cs="Arial"/>
          <w:color w:val="FF0000"/>
          <w:sz w:val="22"/>
          <w:szCs w:val="22"/>
        </w:rPr>
        <w:t xml:space="preserve">No, the State VR Agency will </w:t>
      </w:r>
      <w:r w:rsidR="008F7A70" w:rsidRPr="00D311BD">
        <w:rPr>
          <w:rFonts w:eastAsia="Times New Roman" w:cs="Arial"/>
          <w:color w:val="FF0000"/>
          <w:sz w:val="22"/>
          <w:szCs w:val="22"/>
        </w:rPr>
        <w:t xml:space="preserve">be able to </w:t>
      </w:r>
      <w:r w:rsidR="00BF3A57" w:rsidRPr="00D311BD">
        <w:rPr>
          <w:rFonts w:eastAsia="Times New Roman" w:cs="Arial"/>
          <w:color w:val="FF0000"/>
          <w:sz w:val="22"/>
          <w:szCs w:val="22"/>
        </w:rPr>
        <w:t xml:space="preserve">see the TPR in the Portal when the notice is sent to beneficiary.  </w:t>
      </w:r>
    </w:p>
    <w:p w:rsidR="00BF3A57" w:rsidRPr="00D311BD" w:rsidRDefault="00BF3A57" w:rsidP="00BF3A57">
      <w:pPr>
        <w:pStyle w:val="ListBullet"/>
        <w:numPr>
          <w:ilvl w:val="0"/>
          <w:numId w:val="0"/>
        </w:numPr>
        <w:ind w:left="360"/>
        <w:rPr>
          <w:rFonts w:cs="Arial"/>
        </w:rPr>
      </w:pPr>
    </w:p>
    <w:p w:rsidR="00BF3A57" w:rsidRPr="00D311BD" w:rsidRDefault="00BF3A57" w:rsidP="00BF3A57">
      <w:pPr>
        <w:rPr>
          <w:sz w:val="22"/>
          <w:szCs w:val="22"/>
        </w:rPr>
      </w:pPr>
    </w:p>
    <w:p w:rsidR="00717A4B" w:rsidRDefault="00717A4B" w:rsidP="00717A4B">
      <w:pPr>
        <w:rPr>
          <w:b/>
          <w:bCs/>
        </w:rPr>
      </w:pPr>
    </w:p>
    <w:p w:rsidR="00717A4B" w:rsidRDefault="00717A4B" w:rsidP="0024334E"/>
    <w:sectPr w:rsidR="00717A4B" w:rsidSect="00CD192C">
      <w:headerReference w:type="default" r:id="rId8"/>
      <w:footerReference w:type="default" r:id="rId9"/>
      <w:headerReference w:type="first" r:id="rId10"/>
      <w:pgSz w:w="12240" w:h="15840" w:code="1"/>
      <w:pgMar w:top="1918"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80" w:rsidRDefault="00FD3280" w:rsidP="00193452">
      <w:pPr>
        <w:spacing w:before="0" w:line="240" w:lineRule="auto"/>
      </w:pPr>
      <w:r>
        <w:separator/>
      </w:r>
    </w:p>
  </w:endnote>
  <w:endnote w:type="continuationSeparator" w:id="0">
    <w:p w:rsidR="00FD3280" w:rsidRDefault="00FD3280"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ahoma"/>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5B" w:rsidRDefault="0023275B">
    <w:pPr>
      <w:pStyle w:val="Footer"/>
    </w:pPr>
    <w:r>
      <w:rPr>
        <w:noProof/>
      </w:rPr>
      <w:drawing>
        <wp:anchor distT="0" distB="0" distL="114300" distR="114300" simplePos="0" relativeHeight="251661312" behindDoc="1" locked="0" layoutInCell="1" allowOverlap="1" wp14:anchorId="58E082C1" wp14:editId="3804FE61">
          <wp:simplePos x="0" y="0"/>
          <wp:positionH relativeFrom="column">
            <wp:posOffset>0</wp:posOffset>
          </wp:positionH>
          <wp:positionV relativeFrom="page">
            <wp:posOffset>9144000</wp:posOffset>
          </wp:positionV>
          <wp:extent cx="1234440" cy="484632"/>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80" w:rsidRDefault="00FD3280" w:rsidP="00193452">
      <w:pPr>
        <w:spacing w:before="0" w:line="240" w:lineRule="auto"/>
      </w:pPr>
      <w:r>
        <w:separator/>
      </w:r>
    </w:p>
  </w:footnote>
  <w:footnote w:type="continuationSeparator" w:id="0">
    <w:p w:rsidR="00FD3280" w:rsidRDefault="00FD3280"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84" w:rsidRDefault="00C60984" w:rsidP="00D34925">
    <w:pPr>
      <w:pStyle w:val="Header2"/>
    </w:pPr>
    <w:r>
      <w:tab/>
    </w:r>
    <w:sdt>
      <w:sdtPr>
        <w:id w:val="-18446939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5DC6">
          <w:rPr>
            <w:noProof/>
          </w:rPr>
          <w:t>3</w:t>
        </w:r>
        <w:r>
          <w:rPr>
            <w:noProof/>
          </w:rPr>
          <w:fldChar w:fldCharType="end"/>
        </w:r>
      </w:sdtContent>
    </w:sdt>
  </w:p>
  <w:p w:rsidR="00C60984" w:rsidRPr="00DB4713" w:rsidRDefault="00C60984" w:rsidP="00DB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84" w:rsidRPr="005578CF" w:rsidRDefault="00E55396" w:rsidP="005578CF">
    <w:pPr>
      <w:pStyle w:val="Header1"/>
      <w:rPr>
        <w:b/>
      </w:rPr>
    </w:pPr>
    <w:r>
      <mc:AlternateContent>
        <mc:Choice Requires="wps">
          <w:drawing>
            <wp:anchor distT="45720" distB="45720" distL="114300" distR="114300" simplePos="0" relativeHeight="251664384" behindDoc="0" locked="0" layoutInCell="1" allowOverlap="1" wp14:anchorId="329FA808" wp14:editId="31FDF7C0">
              <wp:simplePos x="0" y="0"/>
              <wp:positionH relativeFrom="column">
                <wp:posOffset>1798320</wp:posOffset>
              </wp:positionH>
              <wp:positionV relativeFrom="paragraph">
                <wp:posOffset>-335280</wp:posOffset>
              </wp:positionV>
              <wp:extent cx="4022090" cy="605790"/>
              <wp:effectExtent l="0" t="0" r="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605790"/>
                      </a:xfrm>
                      <a:prstGeom prst="rect">
                        <a:avLst/>
                      </a:prstGeom>
                      <a:noFill/>
                      <a:ln w="9525">
                        <a:noFill/>
                        <a:miter lim="800000"/>
                        <a:headEnd/>
                        <a:tailEnd/>
                      </a:ln>
                    </wps:spPr>
                    <wps:txbx>
                      <w:txbxContent>
                        <w:p w:rsidR="00E55396" w:rsidRPr="00A6498A" w:rsidRDefault="000865B0" w:rsidP="00E55396">
                          <w:pPr>
                            <w:pStyle w:val="Header1"/>
                            <w:spacing w:before="0" w:line="400" w:lineRule="exact"/>
                            <w:rPr>
                              <w:sz w:val="28"/>
                              <w:szCs w:val="28"/>
                            </w:rPr>
                          </w:pPr>
                          <w:r>
                            <w:t>Timely Progress Reviews and the Impact on State Vocational Reh</w:t>
                          </w:r>
                          <w:r w:rsidR="00D132B4">
                            <w:t>a</w:t>
                          </w:r>
                          <w:r>
                            <w:t>bilitation Agencies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FA808" id="_x0000_t202" coordsize="21600,21600" o:spt="202" path="m,l,21600r21600,l21600,xe">
              <v:stroke joinstyle="miter"/>
              <v:path gradientshapeok="t" o:connecttype="rect"/>
            </v:shapetype>
            <v:shape id="Text Box 2" o:spid="_x0000_s1026" type="#_x0000_t202" style="position:absolute;left:0;text-align:left;margin-left:141.6pt;margin-top:-26.4pt;width:316.7pt;height:47.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" filled="f" stroked="f">
              <v:textbox style="mso-fit-shape-to-text:t" inset="0,0,0,0">
                <w:txbxContent>
                  <w:p w:rsidR="00E55396" w:rsidRPr="00A6498A" w:rsidRDefault="000865B0" w:rsidP="00E55396">
                    <w:pPr>
                      <w:pStyle w:val="Header1"/>
                      <w:spacing w:before="0" w:line="400" w:lineRule="exact"/>
                      <w:rPr>
                        <w:sz w:val="28"/>
                        <w:szCs w:val="28"/>
                      </w:rPr>
                    </w:pPr>
                    <w:r>
                      <w:t>Timely Progress Reviews and the Impact on State Vocational Reh</w:t>
                    </w:r>
                    <w:r w:rsidR="00D132B4">
                      <w:t>a</w:t>
                    </w:r>
                    <w:r>
                      <w:t>bilitation Agencies</w:t>
                    </w:r>
                  </w:p>
                </w:txbxContent>
              </v:textbox>
            </v:shape>
          </w:pict>
        </mc:Fallback>
      </mc:AlternateContent>
    </w:r>
    <w:r w:rsidR="00024682" w:rsidRPr="005578CF">
      <w:rPr>
        <w:b/>
      </w:rPr>
      <w:drawing>
        <wp:anchor distT="0" distB="0" distL="114300" distR="114300" simplePos="0" relativeHeight="251662336" behindDoc="1" locked="0" layoutInCell="1" allowOverlap="1" wp14:anchorId="7716471B" wp14:editId="2CB2C627">
          <wp:simplePos x="0" y="0"/>
          <wp:positionH relativeFrom="page">
            <wp:posOffset>4445</wp:posOffset>
          </wp:positionH>
          <wp:positionV relativeFrom="page">
            <wp:posOffset>0</wp:posOffset>
          </wp:positionV>
          <wp:extent cx="7754112" cy="126187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2618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A0F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92DE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9625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7CEC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50B0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C15E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BA18CF"/>
    <w:multiLevelType w:val="multilevel"/>
    <w:tmpl w:val="B64C15E6"/>
    <w:styleLink w:val="ListBullet1"/>
    <w:lvl w:ilvl="0">
      <w:start w:val="1"/>
      <w:numFmt w:val="bullet"/>
      <w:lvlText w:val=""/>
      <w:lvlJc w:val="left"/>
      <w:pPr>
        <w:ind w:left="360" w:hanging="360"/>
      </w:pPr>
      <w:rPr>
        <w:rFonts w:ascii="Wingdings" w:hAnsi="Wingdings" w:hint="default"/>
        <w:position w:val="-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E67B4"/>
    <w:multiLevelType w:val="hybridMultilevel"/>
    <w:tmpl w:val="2134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7B5D"/>
    <w:multiLevelType w:val="multilevel"/>
    <w:tmpl w:val="B64C15E6"/>
    <w:numStyleLink w:val="ListBullet1"/>
  </w:abstractNum>
  <w:abstractNum w:abstractNumId="19"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6"/>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14"/>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15"/>
  </w:num>
  <w:num w:numId="21">
    <w:abstractNumId w:val="1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24682"/>
    <w:rsid w:val="00081845"/>
    <w:rsid w:val="000865B0"/>
    <w:rsid w:val="00104164"/>
    <w:rsid w:val="00113C1E"/>
    <w:rsid w:val="001214D7"/>
    <w:rsid w:val="00126C5B"/>
    <w:rsid w:val="001323E5"/>
    <w:rsid w:val="001708C6"/>
    <w:rsid w:val="00177E00"/>
    <w:rsid w:val="00193452"/>
    <w:rsid w:val="001B094E"/>
    <w:rsid w:val="001D5EB8"/>
    <w:rsid w:val="00206E4B"/>
    <w:rsid w:val="0023275B"/>
    <w:rsid w:val="0024334E"/>
    <w:rsid w:val="00273FAE"/>
    <w:rsid w:val="00297C8C"/>
    <w:rsid w:val="002A6305"/>
    <w:rsid w:val="002C01E9"/>
    <w:rsid w:val="002C75A3"/>
    <w:rsid w:val="002D4E4E"/>
    <w:rsid w:val="002D61A6"/>
    <w:rsid w:val="002E2004"/>
    <w:rsid w:val="003114D0"/>
    <w:rsid w:val="00314763"/>
    <w:rsid w:val="003152CE"/>
    <w:rsid w:val="00341F4B"/>
    <w:rsid w:val="003444FD"/>
    <w:rsid w:val="003B674C"/>
    <w:rsid w:val="003C7F10"/>
    <w:rsid w:val="003E0FE2"/>
    <w:rsid w:val="003F1221"/>
    <w:rsid w:val="003F17AA"/>
    <w:rsid w:val="0047669D"/>
    <w:rsid w:val="00484BCD"/>
    <w:rsid w:val="004A506C"/>
    <w:rsid w:val="004F7A7C"/>
    <w:rsid w:val="00504D3C"/>
    <w:rsid w:val="00535953"/>
    <w:rsid w:val="005429C8"/>
    <w:rsid w:val="00553CB3"/>
    <w:rsid w:val="005552C5"/>
    <w:rsid w:val="005578CF"/>
    <w:rsid w:val="005D4B40"/>
    <w:rsid w:val="00603ED7"/>
    <w:rsid w:val="0062166E"/>
    <w:rsid w:val="0063414D"/>
    <w:rsid w:val="006747F3"/>
    <w:rsid w:val="006A0608"/>
    <w:rsid w:val="006A7021"/>
    <w:rsid w:val="006F731A"/>
    <w:rsid w:val="00704DF1"/>
    <w:rsid w:val="00717A4B"/>
    <w:rsid w:val="00734673"/>
    <w:rsid w:val="007A5BD8"/>
    <w:rsid w:val="007D0A57"/>
    <w:rsid w:val="007D5DC6"/>
    <w:rsid w:val="007D71D8"/>
    <w:rsid w:val="007F2385"/>
    <w:rsid w:val="008138C7"/>
    <w:rsid w:val="00850ECB"/>
    <w:rsid w:val="00885F80"/>
    <w:rsid w:val="0089035E"/>
    <w:rsid w:val="0089503A"/>
    <w:rsid w:val="008958E5"/>
    <w:rsid w:val="008C3F57"/>
    <w:rsid w:val="008F5A46"/>
    <w:rsid w:val="008F7A70"/>
    <w:rsid w:val="009058E1"/>
    <w:rsid w:val="00926F20"/>
    <w:rsid w:val="009301F0"/>
    <w:rsid w:val="00934F3D"/>
    <w:rsid w:val="009E692B"/>
    <w:rsid w:val="00A00CF6"/>
    <w:rsid w:val="00A03303"/>
    <w:rsid w:val="00A061A1"/>
    <w:rsid w:val="00A1780B"/>
    <w:rsid w:val="00A2465A"/>
    <w:rsid w:val="00A30B82"/>
    <w:rsid w:val="00A50C43"/>
    <w:rsid w:val="00A572F5"/>
    <w:rsid w:val="00A6498A"/>
    <w:rsid w:val="00AD436A"/>
    <w:rsid w:val="00B31AFB"/>
    <w:rsid w:val="00B5608C"/>
    <w:rsid w:val="00BA2DB1"/>
    <w:rsid w:val="00BC774C"/>
    <w:rsid w:val="00BE7F96"/>
    <w:rsid w:val="00BF3A57"/>
    <w:rsid w:val="00C60984"/>
    <w:rsid w:val="00C74D77"/>
    <w:rsid w:val="00CD192C"/>
    <w:rsid w:val="00D049FB"/>
    <w:rsid w:val="00D132B4"/>
    <w:rsid w:val="00D24318"/>
    <w:rsid w:val="00D311BD"/>
    <w:rsid w:val="00D34925"/>
    <w:rsid w:val="00D43844"/>
    <w:rsid w:val="00D5341A"/>
    <w:rsid w:val="00DB4713"/>
    <w:rsid w:val="00DD1B8D"/>
    <w:rsid w:val="00DE3B4A"/>
    <w:rsid w:val="00E03F33"/>
    <w:rsid w:val="00E226E1"/>
    <w:rsid w:val="00E32C9B"/>
    <w:rsid w:val="00E54BAF"/>
    <w:rsid w:val="00E55396"/>
    <w:rsid w:val="00E57B5C"/>
    <w:rsid w:val="00E76F98"/>
    <w:rsid w:val="00E9034A"/>
    <w:rsid w:val="00E90EC7"/>
    <w:rsid w:val="00EA6E31"/>
    <w:rsid w:val="00EC39BF"/>
    <w:rsid w:val="00EE1C3E"/>
    <w:rsid w:val="00EE6627"/>
    <w:rsid w:val="00F20E1A"/>
    <w:rsid w:val="00F24A4A"/>
    <w:rsid w:val="00F25CF8"/>
    <w:rsid w:val="00F47403"/>
    <w:rsid w:val="00F84C85"/>
    <w:rsid w:val="00FA60D1"/>
    <w:rsid w:val="00FD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1801865-415F-43E7-8702-5DE7AB8A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5A46"/>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semiHidden/>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numbering" w:customStyle="1" w:styleId="ListBullet1">
    <w:name w:val="List Bullet 1"/>
    <w:basedOn w:val="NoList"/>
    <w:uiPriority w:val="99"/>
    <w:rsid w:val="008F5A46"/>
    <w:pPr>
      <w:numPr>
        <w:numId w:val="21"/>
      </w:numPr>
    </w:pPr>
  </w:style>
  <w:style w:type="paragraph" w:styleId="BalloonText">
    <w:name w:val="Balloon Text"/>
    <w:basedOn w:val="Normal"/>
    <w:link w:val="BalloonTextChar"/>
    <w:uiPriority w:val="99"/>
    <w:semiHidden/>
    <w:unhideWhenUsed/>
    <w:rsid w:val="000865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B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A7021"/>
    <w:rPr>
      <w:sz w:val="16"/>
      <w:szCs w:val="16"/>
    </w:rPr>
  </w:style>
  <w:style w:type="paragraph" w:styleId="CommentText">
    <w:name w:val="annotation text"/>
    <w:basedOn w:val="Normal"/>
    <w:link w:val="CommentTextChar"/>
    <w:uiPriority w:val="99"/>
    <w:semiHidden/>
    <w:unhideWhenUsed/>
    <w:rsid w:val="006A7021"/>
    <w:pPr>
      <w:spacing w:line="240" w:lineRule="auto"/>
    </w:pPr>
    <w:rPr>
      <w:sz w:val="20"/>
      <w:szCs w:val="20"/>
    </w:rPr>
  </w:style>
  <w:style w:type="character" w:customStyle="1" w:styleId="CommentTextChar">
    <w:name w:val="Comment Text Char"/>
    <w:basedOn w:val="DefaultParagraphFont"/>
    <w:link w:val="CommentText"/>
    <w:uiPriority w:val="99"/>
    <w:semiHidden/>
    <w:rsid w:val="006A7021"/>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6A7021"/>
    <w:rPr>
      <w:b/>
      <w:bCs/>
    </w:rPr>
  </w:style>
  <w:style w:type="character" w:customStyle="1" w:styleId="CommentSubjectChar">
    <w:name w:val="Comment Subject Char"/>
    <w:basedOn w:val="CommentTextChar"/>
    <w:link w:val="CommentSubject"/>
    <w:uiPriority w:val="99"/>
    <w:semiHidden/>
    <w:rsid w:val="006A7021"/>
    <w:rPr>
      <w:rFonts w:ascii="Arial" w:eastAsiaTheme="minorEastAs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254973680">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D36E-263F-4525-9B3D-54F2A12D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Jennifer Purdum</cp:lastModifiedBy>
  <cp:revision>3</cp:revision>
  <cp:lastPrinted>2016-03-30T23:54:00Z</cp:lastPrinted>
  <dcterms:created xsi:type="dcterms:W3CDTF">2016-08-22T18:41:00Z</dcterms:created>
  <dcterms:modified xsi:type="dcterms:W3CDTF">2016-08-22T19:00:00Z</dcterms:modified>
</cp:coreProperties>
</file>