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C7" w:rsidRDefault="006401C7" w:rsidP="006401C7">
      <w:pPr>
        <w:pStyle w:val="Header"/>
        <w:rPr>
          <w:rFonts w:ascii="Arial" w:hAnsi="Arial" w:cs="Arial"/>
          <w:b/>
          <w:sz w:val="22"/>
          <w:szCs w:val="22"/>
        </w:rPr>
      </w:pPr>
      <w:r w:rsidRPr="00437EAF">
        <w:rPr>
          <w:rFonts w:ascii="Arial" w:hAnsi="Arial" w:cs="Arial"/>
          <w:b/>
          <w:sz w:val="22"/>
          <w:szCs w:val="22"/>
        </w:rPr>
        <w:t>The Basics</w:t>
      </w:r>
    </w:p>
    <w:p w:rsidR="006401C7" w:rsidRPr="00410C95" w:rsidRDefault="006401C7" w:rsidP="006401C7">
      <w:pPr>
        <w:pStyle w:val="NormalWeb"/>
        <w:rPr>
          <w:rFonts w:ascii="Arial" w:hAnsi="Arial" w:cs="Arial"/>
          <w:sz w:val="22"/>
          <w:szCs w:val="22"/>
        </w:rPr>
      </w:pPr>
      <w:r>
        <w:rPr>
          <w:rFonts w:ascii="Arial" w:hAnsi="Arial" w:cs="Arial"/>
          <w:sz w:val="22"/>
          <w:szCs w:val="22"/>
        </w:rPr>
        <w:t xml:space="preserve">The Ticket to Work (Ticket) program is an </w:t>
      </w:r>
      <w:r w:rsidR="0036173F">
        <w:rPr>
          <w:rFonts w:ascii="Arial" w:hAnsi="Arial" w:cs="Arial"/>
          <w:sz w:val="22"/>
          <w:szCs w:val="22"/>
        </w:rPr>
        <w:t>o</w:t>
      </w:r>
      <w:r>
        <w:rPr>
          <w:rFonts w:ascii="Arial" w:hAnsi="Arial" w:cs="Arial"/>
          <w:sz w:val="22"/>
          <w:szCs w:val="22"/>
        </w:rPr>
        <w:t xml:space="preserve">utcome-based employment program administered by the Social Security Administration. The program is for employment service providers participating in the Ticket program to assist </w:t>
      </w:r>
      <w:r w:rsidRPr="00410C95">
        <w:rPr>
          <w:rFonts w:ascii="Arial" w:hAnsi="Arial" w:cs="Arial"/>
          <w:sz w:val="22"/>
          <w:szCs w:val="22"/>
        </w:rPr>
        <w:t>Social Security Disab</w:t>
      </w:r>
      <w:r>
        <w:rPr>
          <w:rFonts w:ascii="Arial" w:hAnsi="Arial" w:cs="Arial"/>
          <w:sz w:val="22"/>
          <w:szCs w:val="22"/>
        </w:rPr>
        <w:t>ility b</w:t>
      </w:r>
      <w:r w:rsidRPr="00410C95">
        <w:rPr>
          <w:rFonts w:ascii="Arial" w:hAnsi="Arial" w:cs="Arial"/>
          <w:sz w:val="22"/>
          <w:szCs w:val="22"/>
        </w:rPr>
        <w:t>eneficiaries (Individuals receiving Social Security Disability Insurance and/or Supplemental Security Incom</w:t>
      </w:r>
      <w:r w:rsidR="0036173F">
        <w:rPr>
          <w:rFonts w:ascii="Arial" w:hAnsi="Arial" w:cs="Arial"/>
          <w:sz w:val="22"/>
          <w:szCs w:val="22"/>
        </w:rPr>
        <w:t>e benefits based on disability)</w:t>
      </w:r>
      <w:r>
        <w:rPr>
          <w:rFonts w:ascii="Arial" w:hAnsi="Arial" w:cs="Arial"/>
          <w:sz w:val="22"/>
          <w:szCs w:val="22"/>
        </w:rPr>
        <w:t xml:space="preserve"> become financially independent throug</w:t>
      </w:r>
      <w:r w:rsidR="0036173F">
        <w:rPr>
          <w:rFonts w:ascii="Arial" w:hAnsi="Arial" w:cs="Arial"/>
          <w:sz w:val="22"/>
          <w:szCs w:val="22"/>
        </w:rPr>
        <w:t>h sustained work at or above</w:t>
      </w:r>
      <w:r>
        <w:rPr>
          <w:rFonts w:ascii="Arial" w:hAnsi="Arial" w:cs="Arial"/>
          <w:sz w:val="22"/>
          <w:szCs w:val="22"/>
        </w:rPr>
        <w:t xml:space="preserve"> Substantial Gainful Activity (SGA) level.</w:t>
      </w:r>
      <w:r w:rsidRPr="00410C95">
        <w:rPr>
          <w:rFonts w:ascii="Arial" w:hAnsi="Arial" w:cs="Arial"/>
          <w:sz w:val="22"/>
          <w:szCs w:val="22"/>
        </w:rPr>
        <w:t xml:space="preserve"> The </w:t>
      </w:r>
      <w:r>
        <w:rPr>
          <w:rFonts w:ascii="Arial" w:hAnsi="Arial" w:cs="Arial"/>
          <w:sz w:val="22"/>
          <w:szCs w:val="22"/>
        </w:rPr>
        <w:t xml:space="preserve">ultimate </w:t>
      </w:r>
      <w:r w:rsidRPr="00410C95">
        <w:rPr>
          <w:rFonts w:ascii="Arial" w:hAnsi="Arial" w:cs="Arial"/>
          <w:sz w:val="22"/>
          <w:szCs w:val="22"/>
        </w:rPr>
        <w:t>goal of</w:t>
      </w:r>
      <w:r w:rsidR="0036173F">
        <w:rPr>
          <w:rFonts w:ascii="Arial" w:hAnsi="Arial" w:cs="Arial"/>
          <w:sz w:val="22"/>
          <w:szCs w:val="22"/>
        </w:rPr>
        <w:t xml:space="preserve"> the program is to reduce, and</w:t>
      </w:r>
      <w:r w:rsidRPr="00410C95">
        <w:rPr>
          <w:rFonts w:ascii="Arial" w:hAnsi="Arial" w:cs="Arial"/>
          <w:sz w:val="22"/>
          <w:szCs w:val="22"/>
        </w:rPr>
        <w:t xml:space="preserve"> whenever possible eliminate</w:t>
      </w:r>
      <w:r w:rsidR="0036173F">
        <w:rPr>
          <w:rFonts w:ascii="Arial" w:hAnsi="Arial" w:cs="Arial"/>
          <w:sz w:val="22"/>
          <w:szCs w:val="22"/>
        </w:rPr>
        <w:t>,</w:t>
      </w:r>
      <w:r w:rsidRPr="00410C95">
        <w:rPr>
          <w:rFonts w:ascii="Arial" w:hAnsi="Arial" w:cs="Arial"/>
          <w:sz w:val="22"/>
          <w:szCs w:val="22"/>
        </w:rPr>
        <w:t xml:space="preserve"> </w:t>
      </w:r>
      <w:r>
        <w:rPr>
          <w:rFonts w:ascii="Arial" w:hAnsi="Arial" w:cs="Arial"/>
          <w:sz w:val="22"/>
          <w:szCs w:val="22"/>
        </w:rPr>
        <w:t xml:space="preserve">beneficiaries’ </w:t>
      </w:r>
      <w:r w:rsidRPr="00410C95">
        <w:rPr>
          <w:rFonts w:ascii="Arial" w:hAnsi="Arial" w:cs="Arial"/>
          <w:sz w:val="22"/>
          <w:szCs w:val="22"/>
        </w:rPr>
        <w:t xml:space="preserve">dependence on </w:t>
      </w:r>
      <w:r>
        <w:rPr>
          <w:rFonts w:ascii="Arial" w:hAnsi="Arial" w:cs="Arial"/>
          <w:sz w:val="22"/>
          <w:szCs w:val="22"/>
        </w:rPr>
        <w:t xml:space="preserve">Social Security </w:t>
      </w:r>
      <w:r w:rsidRPr="00410C95">
        <w:rPr>
          <w:rFonts w:ascii="Arial" w:hAnsi="Arial" w:cs="Arial"/>
          <w:sz w:val="22"/>
          <w:szCs w:val="22"/>
        </w:rPr>
        <w:t>cash benefits programs</w:t>
      </w:r>
    </w:p>
    <w:p w:rsidR="006401C7" w:rsidRPr="00410C95" w:rsidRDefault="006401C7" w:rsidP="006401C7">
      <w:pPr>
        <w:pStyle w:val="NormalWeb"/>
        <w:rPr>
          <w:rFonts w:ascii="Arial" w:hAnsi="Arial" w:cs="Arial"/>
          <w:sz w:val="22"/>
          <w:szCs w:val="22"/>
        </w:rPr>
      </w:pPr>
      <w:r w:rsidRPr="00410C95">
        <w:rPr>
          <w:rFonts w:ascii="Arial" w:hAnsi="Arial" w:cs="Arial"/>
          <w:sz w:val="22"/>
          <w:szCs w:val="22"/>
        </w:rPr>
        <w:t xml:space="preserve">Organizations selected to participate in the </w:t>
      </w:r>
      <w:r>
        <w:rPr>
          <w:rFonts w:ascii="Arial" w:hAnsi="Arial" w:cs="Arial"/>
          <w:sz w:val="22"/>
          <w:szCs w:val="22"/>
        </w:rPr>
        <w:t>Ticket</w:t>
      </w:r>
      <w:r w:rsidRPr="00410C95">
        <w:rPr>
          <w:rFonts w:ascii="Arial" w:hAnsi="Arial" w:cs="Arial"/>
          <w:sz w:val="22"/>
          <w:szCs w:val="22"/>
        </w:rPr>
        <w:t xml:space="preserve"> program</w:t>
      </w:r>
      <w:r w:rsidR="0036173F">
        <w:rPr>
          <w:rFonts w:ascii="Arial" w:hAnsi="Arial" w:cs="Arial"/>
          <w:sz w:val="22"/>
          <w:szCs w:val="22"/>
        </w:rPr>
        <w:t xml:space="preserve"> are c</w:t>
      </w:r>
      <w:r>
        <w:rPr>
          <w:rFonts w:ascii="Arial" w:hAnsi="Arial" w:cs="Arial"/>
          <w:sz w:val="22"/>
          <w:szCs w:val="22"/>
        </w:rPr>
        <w:t>alled</w:t>
      </w:r>
      <w:r w:rsidR="0036173F">
        <w:rPr>
          <w:rFonts w:ascii="Arial" w:hAnsi="Arial" w:cs="Arial"/>
          <w:sz w:val="22"/>
          <w:szCs w:val="22"/>
        </w:rPr>
        <w:t xml:space="preserve"> Employment Networks (EN). Such organizations </w:t>
      </w:r>
      <w:r w:rsidRPr="00410C95">
        <w:rPr>
          <w:rFonts w:ascii="Arial" w:hAnsi="Arial" w:cs="Arial"/>
          <w:sz w:val="22"/>
          <w:szCs w:val="22"/>
        </w:rPr>
        <w:t xml:space="preserve">are required to provide employment services, vocational rehabilitation services and other supports that help </w:t>
      </w:r>
      <w:r>
        <w:rPr>
          <w:rFonts w:ascii="Arial" w:hAnsi="Arial" w:cs="Arial"/>
          <w:sz w:val="22"/>
          <w:szCs w:val="22"/>
        </w:rPr>
        <w:t>b</w:t>
      </w:r>
      <w:r w:rsidRPr="00410C95">
        <w:rPr>
          <w:rFonts w:ascii="Arial" w:hAnsi="Arial" w:cs="Arial"/>
          <w:sz w:val="22"/>
          <w:szCs w:val="22"/>
        </w:rPr>
        <w:t xml:space="preserve">eneficiaries, referred </w:t>
      </w:r>
      <w:r>
        <w:rPr>
          <w:rFonts w:ascii="Arial" w:hAnsi="Arial" w:cs="Arial"/>
          <w:sz w:val="22"/>
          <w:szCs w:val="22"/>
        </w:rPr>
        <w:t xml:space="preserve">to </w:t>
      </w:r>
      <w:r w:rsidRPr="00410C95">
        <w:rPr>
          <w:rFonts w:ascii="Arial" w:hAnsi="Arial" w:cs="Arial"/>
          <w:sz w:val="22"/>
          <w:szCs w:val="22"/>
        </w:rPr>
        <w:t xml:space="preserve">as </w:t>
      </w:r>
      <w:r>
        <w:rPr>
          <w:rFonts w:ascii="Arial" w:hAnsi="Arial" w:cs="Arial"/>
          <w:sz w:val="22"/>
          <w:szCs w:val="22"/>
        </w:rPr>
        <w:t>Ticket</w:t>
      </w:r>
      <w:r w:rsidRPr="00410C95">
        <w:rPr>
          <w:rFonts w:ascii="Arial" w:hAnsi="Arial" w:cs="Arial"/>
          <w:sz w:val="22"/>
          <w:szCs w:val="22"/>
        </w:rPr>
        <w:t xml:space="preserve"> Holders, obtain and retain employment. Beneficiaries’ participation in the program is voluntary and free.  Beneficiaries can choose when and where to</w:t>
      </w:r>
      <w:r>
        <w:rPr>
          <w:rFonts w:ascii="Arial" w:hAnsi="Arial" w:cs="Arial"/>
          <w:sz w:val="22"/>
          <w:szCs w:val="22"/>
        </w:rPr>
        <w:t xml:space="preserve"> assign their Tickets</w:t>
      </w:r>
      <w:r w:rsidRPr="00410C95">
        <w:rPr>
          <w:rFonts w:ascii="Arial" w:hAnsi="Arial" w:cs="Arial"/>
          <w:sz w:val="22"/>
          <w:szCs w:val="22"/>
        </w:rPr>
        <w:t xml:space="preserve"> and</w:t>
      </w:r>
      <w:r>
        <w:rPr>
          <w:rFonts w:ascii="Arial" w:hAnsi="Arial" w:cs="Arial"/>
          <w:sz w:val="22"/>
          <w:szCs w:val="22"/>
        </w:rPr>
        <w:t xml:space="preserve"> Social Security </w:t>
      </w:r>
      <w:r w:rsidR="0036173F">
        <w:rPr>
          <w:rFonts w:ascii="Arial" w:hAnsi="Arial" w:cs="Arial"/>
          <w:sz w:val="22"/>
          <w:szCs w:val="22"/>
        </w:rPr>
        <w:t>approves</w:t>
      </w:r>
      <w:r w:rsidRPr="00410C95">
        <w:rPr>
          <w:rFonts w:ascii="Arial" w:hAnsi="Arial" w:cs="Arial"/>
          <w:sz w:val="22"/>
          <w:szCs w:val="22"/>
        </w:rPr>
        <w:t xml:space="preserve"> these organizations </w:t>
      </w:r>
      <w:r>
        <w:rPr>
          <w:rFonts w:ascii="Arial" w:hAnsi="Arial" w:cs="Arial"/>
          <w:sz w:val="22"/>
          <w:szCs w:val="22"/>
        </w:rPr>
        <w:t xml:space="preserve">as </w:t>
      </w:r>
      <w:r w:rsidRPr="00410C95">
        <w:rPr>
          <w:rFonts w:ascii="Arial" w:hAnsi="Arial" w:cs="Arial"/>
          <w:sz w:val="22"/>
          <w:szCs w:val="22"/>
        </w:rPr>
        <w:t>E</w:t>
      </w:r>
      <w:r w:rsidR="0036173F">
        <w:rPr>
          <w:rFonts w:ascii="Arial" w:hAnsi="Arial" w:cs="Arial"/>
          <w:sz w:val="22"/>
          <w:szCs w:val="22"/>
        </w:rPr>
        <w:t xml:space="preserve">Ns. </w:t>
      </w:r>
      <w:r w:rsidRPr="00410C95">
        <w:rPr>
          <w:rFonts w:ascii="Arial" w:hAnsi="Arial" w:cs="Arial"/>
          <w:sz w:val="22"/>
          <w:szCs w:val="22"/>
        </w:rPr>
        <w:t xml:space="preserve">Once </w:t>
      </w:r>
      <w:r w:rsidR="0036173F">
        <w:rPr>
          <w:rFonts w:ascii="Arial" w:hAnsi="Arial" w:cs="Arial"/>
          <w:sz w:val="22"/>
          <w:szCs w:val="22"/>
        </w:rPr>
        <w:t xml:space="preserve">the </w:t>
      </w:r>
      <w:r w:rsidRPr="00410C95">
        <w:rPr>
          <w:rFonts w:ascii="Arial" w:hAnsi="Arial" w:cs="Arial"/>
          <w:sz w:val="22"/>
          <w:szCs w:val="22"/>
        </w:rPr>
        <w:t>Social Security Administration</w:t>
      </w:r>
      <w:r>
        <w:rPr>
          <w:rFonts w:ascii="Arial" w:hAnsi="Arial" w:cs="Arial"/>
          <w:sz w:val="22"/>
          <w:szCs w:val="22"/>
        </w:rPr>
        <w:t xml:space="preserve"> approves an entity as an EN</w:t>
      </w:r>
      <w:r w:rsidRPr="00410C95">
        <w:rPr>
          <w:rFonts w:ascii="Arial" w:hAnsi="Arial" w:cs="Arial"/>
          <w:sz w:val="22"/>
          <w:szCs w:val="22"/>
        </w:rPr>
        <w:t xml:space="preserve">, </w:t>
      </w:r>
      <w:r>
        <w:rPr>
          <w:rFonts w:ascii="Arial" w:hAnsi="Arial" w:cs="Arial"/>
          <w:sz w:val="22"/>
          <w:szCs w:val="22"/>
        </w:rPr>
        <w:t>the EN must choose between two systems</w:t>
      </w:r>
      <w:r w:rsidRPr="00410C95">
        <w:rPr>
          <w:rFonts w:ascii="Arial" w:hAnsi="Arial" w:cs="Arial"/>
          <w:sz w:val="22"/>
          <w:szCs w:val="22"/>
        </w:rPr>
        <w:t xml:space="preserve"> to receive payments: the </w:t>
      </w:r>
      <w:r>
        <w:rPr>
          <w:rFonts w:ascii="Arial" w:hAnsi="Arial" w:cs="Arial"/>
          <w:sz w:val="22"/>
          <w:szCs w:val="22"/>
        </w:rPr>
        <w:t>Milestone</w:t>
      </w:r>
      <w:r w:rsidRPr="00410C95">
        <w:rPr>
          <w:rFonts w:ascii="Arial" w:hAnsi="Arial" w:cs="Arial"/>
          <w:sz w:val="22"/>
          <w:szCs w:val="22"/>
        </w:rPr>
        <w:t xml:space="preserve"> /</w:t>
      </w:r>
      <w:r>
        <w:rPr>
          <w:rFonts w:ascii="Arial" w:hAnsi="Arial" w:cs="Arial"/>
          <w:sz w:val="22"/>
          <w:szCs w:val="22"/>
        </w:rPr>
        <w:t>Outcome</w:t>
      </w:r>
      <w:r w:rsidRPr="00410C95">
        <w:rPr>
          <w:rFonts w:ascii="Arial" w:hAnsi="Arial" w:cs="Arial"/>
          <w:sz w:val="22"/>
          <w:szCs w:val="22"/>
        </w:rPr>
        <w:t xml:space="preserve"> and </w:t>
      </w:r>
      <w:r>
        <w:rPr>
          <w:rFonts w:ascii="Arial" w:hAnsi="Arial" w:cs="Arial"/>
          <w:sz w:val="22"/>
          <w:szCs w:val="22"/>
        </w:rPr>
        <w:t>Outcome</w:t>
      </w:r>
      <w:r w:rsidRPr="00410C95">
        <w:rPr>
          <w:rFonts w:ascii="Arial" w:hAnsi="Arial" w:cs="Arial"/>
          <w:sz w:val="22"/>
          <w:szCs w:val="22"/>
        </w:rPr>
        <w:t xml:space="preserve"> Only payment systems.</w:t>
      </w:r>
    </w:p>
    <w:p w:rsidR="006401C7" w:rsidRPr="00410C95" w:rsidRDefault="006401C7" w:rsidP="006401C7">
      <w:pPr>
        <w:pStyle w:val="NormalWeb"/>
        <w:rPr>
          <w:rFonts w:ascii="Arial" w:hAnsi="Arial" w:cs="Arial"/>
          <w:sz w:val="22"/>
          <w:szCs w:val="22"/>
        </w:rPr>
      </w:pPr>
      <w:r w:rsidRPr="00410C95">
        <w:rPr>
          <w:rFonts w:ascii="Arial" w:hAnsi="Arial" w:cs="Arial"/>
          <w:sz w:val="22"/>
          <w:szCs w:val="22"/>
        </w:rPr>
        <w:t xml:space="preserve">Since the </w:t>
      </w:r>
      <w:r>
        <w:rPr>
          <w:rFonts w:ascii="Arial" w:hAnsi="Arial" w:cs="Arial"/>
          <w:sz w:val="22"/>
          <w:szCs w:val="22"/>
        </w:rPr>
        <w:t>Ticket</w:t>
      </w:r>
      <w:r w:rsidRPr="00410C95">
        <w:rPr>
          <w:rFonts w:ascii="Arial" w:hAnsi="Arial" w:cs="Arial"/>
          <w:sz w:val="22"/>
          <w:szCs w:val="22"/>
        </w:rPr>
        <w:t xml:space="preserve"> program is an </w:t>
      </w:r>
      <w:r w:rsidR="0036173F">
        <w:rPr>
          <w:rFonts w:ascii="Arial" w:hAnsi="Arial" w:cs="Arial"/>
          <w:sz w:val="22"/>
          <w:szCs w:val="22"/>
        </w:rPr>
        <w:t>o</w:t>
      </w:r>
      <w:r>
        <w:rPr>
          <w:rFonts w:ascii="Arial" w:hAnsi="Arial" w:cs="Arial"/>
          <w:sz w:val="22"/>
          <w:szCs w:val="22"/>
        </w:rPr>
        <w:t>utcome</w:t>
      </w:r>
      <w:r w:rsidRPr="00410C95">
        <w:rPr>
          <w:rFonts w:ascii="Arial" w:hAnsi="Arial" w:cs="Arial"/>
          <w:sz w:val="22"/>
          <w:szCs w:val="22"/>
        </w:rPr>
        <w:t xml:space="preserve">-based program, </w:t>
      </w:r>
      <w:r>
        <w:rPr>
          <w:rFonts w:ascii="Arial" w:hAnsi="Arial" w:cs="Arial"/>
          <w:sz w:val="22"/>
          <w:szCs w:val="22"/>
        </w:rPr>
        <w:t xml:space="preserve">Social Security rewards </w:t>
      </w:r>
      <w:r w:rsidRPr="00410C95">
        <w:rPr>
          <w:rFonts w:ascii="Arial" w:hAnsi="Arial" w:cs="Arial"/>
          <w:sz w:val="22"/>
          <w:szCs w:val="22"/>
        </w:rPr>
        <w:t xml:space="preserve">approved ENs financially for successfully assisting Social Security Disability Beneficiaries to enter, maintain and advance in employment. When an EN </w:t>
      </w:r>
      <w:r>
        <w:rPr>
          <w:rFonts w:ascii="Arial" w:hAnsi="Arial" w:cs="Arial"/>
          <w:sz w:val="22"/>
          <w:szCs w:val="22"/>
        </w:rPr>
        <w:t xml:space="preserve">is eligible for </w:t>
      </w:r>
      <w:r w:rsidRPr="00410C95">
        <w:rPr>
          <w:rFonts w:ascii="Arial" w:hAnsi="Arial" w:cs="Arial"/>
          <w:sz w:val="22"/>
          <w:szCs w:val="22"/>
        </w:rPr>
        <w:t xml:space="preserve">a payment, </w:t>
      </w:r>
      <w:r>
        <w:rPr>
          <w:rFonts w:ascii="Arial" w:hAnsi="Arial" w:cs="Arial"/>
          <w:sz w:val="22"/>
          <w:szCs w:val="22"/>
        </w:rPr>
        <w:t xml:space="preserve">the </w:t>
      </w:r>
      <w:r w:rsidR="00E0668A">
        <w:rPr>
          <w:rFonts w:ascii="Arial" w:hAnsi="Arial" w:cs="Arial"/>
          <w:sz w:val="22"/>
          <w:szCs w:val="22"/>
        </w:rPr>
        <w:t>Ticket Program</w:t>
      </w:r>
      <w:r>
        <w:rPr>
          <w:rFonts w:ascii="Arial" w:hAnsi="Arial" w:cs="Arial"/>
          <w:sz w:val="22"/>
          <w:szCs w:val="22"/>
        </w:rPr>
        <w:t xml:space="preserve"> Manager (</w:t>
      </w:r>
      <w:r w:rsidR="00CA533A">
        <w:rPr>
          <w:rFonts w:ascii="Arial" w:hAnsi="Arial" w:cs="Arial"/>
          <w:sz w:val="22"/>
          <w:szCs w:val="22"/>
        </w:rPr>
        <w:t>TPM</w:t>
      </w:r>
      <w:r>
        <w:rPr>
          <w:rFonts w:ascii="Arial" w:hAnsi="Arial" w:cs="Arial"/>
          <w:sz w:val="22"/>
          <w:szCs w:val="22"/>
        </w:rPr>
        <w:t xml:space="preserve"> – MAXIMUS) or Social Security staff will process the payment and the Department of the Treasury will deposit the funds via direct deposit </w:t>
      </w:r>
      <w:r w:rsidRPr="00410C95">
        <w:rPr>
          <w:rFonts w:ascii="Arial" w:hAnsi="Arial" w:cs="Arial"/>
          <w:sz w:val="22"/>
          <w:szCs w:val="22"/>
        </w:rPr>
        <w:t xml:space="preserve">into the EN’s bank account.  These funds represent unrestricted revenue for the EN because </w:t>
      </w:r>
      <w:r w:rsidR="0036173F">
        <w:rPr>
          <w:rFonts w:ascii="Arial" w:hAnsi="Arial" w:cs="Arial"/>
          <w:sz w:val="22"/>
          <w:szCs w:val="22"/>
        </w:rPr>
        <w:t xml:space="preserve">the </w:t>
      </w:r>
      <w:r w:rsidRPr="00410C95">
        <w:rPr>
          <w:rFonts w:ascii="Arial" w:hAnsi="Arial" w:cs="Arial"/>
          <w:sz w:val="22"/>
          <w:szCs w:val="22"/>
        </w:rPr>
        <w:t xml:space="preserve">Social Security Administration does not place requirements or restrictions on how ENs use revenue generated under the </w:t>
      </w:r>
      <w:r>
        <w:rPr>
          <w:rFonts w:ascii="Arial" w:hAnsi="Arial" w:cs="Arial"/>
          <w:sz w:val="22"/>
          <w:szCs w:val="22"/>
        </w:rPr>
        <w:t>Ticket</w:t>
      </w:r>
      <w:r w:rsidRPr="00410C95">
        <w:rPr>
          <w:rFonts w:ascii="Arial" w:hAnsi="Arial" w:cs="Arial"/>
          <w:sz w:val="22"/>
          <w:szCs w:val="22"/>
        </w:rPr>
        <w:t xml:space="preserve"> </w:t>
      </w:r>
      <w:r>
        <w:rPr>
          <w:rFonts w:ascii="Arial" w:hAnsi="Arial" w:cs="Arial"/>
          <w:sz w:val="22"/>
          <w:szCs w:val="22"/>
        </w:rPr>
        <w:t>program.</w:t>
      </w:r>
      <w:r w:rsidRPr="00410C95">
        <w:rPr>
          <w:rFonts w:ascii="Arial" w:hAnsi="Arial" w:cs="Arial"/>
          <w:sz w:val="22"/>
          <w:szCs w:val="22"/>
        </w:rPr>
        <w:t xml:space="preserve"> The Social Security Administration expects an EN</w:t>
      </w:r>
      <w:r>
        <w:rPr>
          <w:rFonts w:ascii="Arial" w:hAnsi="Arial" w:cs="Arial"/>
          <w:sz w:val="22"/>
          <w:szCs w:val="22"/>
        </w:rPr>
        <w:t xml:space="preserve"> to</w:t>
      </w:r>
      <w:r w:rsidRPr="00410C95">
        <w:rPr>
          <w:rFonts w:ascii="Arial" w:hAnsi="Arial" w:cs="Arial"/>
          <w:sz w:val="22"/>
          <w:szCs w:val="22"/>
        </w:rPr>
        <w:t xml:space="preserve"> provide employment support services that afford </w:t>
      </w:r>
      <w:r>
        <w:rPr>
          <w:rFonts w:ascii="Arial" w:hAnsi="Arial" w:cs="Arial"/>
          <w:sz w:val="22"/>
          <w:szCs w:val="22"/>
        </w:rPr>
        <w:t>Ticket</w:t>
      </w:r>
      <w:r w:rsidRPr="00410C95">
        <w:rPr>
          <w:rFonts w:ascii="Arial" w:hAnsi="Arial" w:cs="Arial"/>
          <w:sz w:val="22"/>
          <w:szCs w:val="22"/>
        </w:rPr>
        <w:t xml:space="preserve"> Holders the opportunity to prepare for, obtain and retain career ladder job</w:t>
      </w:r>
      <w:r>
        <w:rPr>
          <w:rFonts w:ascii="Arial" w:hAnsi="Arial" w:cs="Arial"/>
          <w:sz w:val="22"/>
          <w:szCs w:val="22"/>
        </w:rPr>
        <w:t>s that will enable beneficiaries</w:t>
      </w:r>
      <w:r w:rsidRPr="00410C95">
        <w:rPr>
          <w:rFonts w:ascii="Arial" w:hAnsi="Arial" w:cs="Arial"/>
          <w:sz w:val="22"/>
          <w:szCs w:val="22"/>
        </w:rPr>
        <w:t xml:space="preserve"> to </w:t>
      </w:r>
      <w:r w:rsidR="0036173F">
        <w:rPr>
          <w:rFonts w:ascii="Arial" w:hAnsi="Arial" w:cs="Arial"/>
          <w:sz w:val="22"/>
          <w:szCs w:val="22"/>
        </w:rPr>
        <w:t xml:space="preserve">become self-sufficient, </w:t>
      </w:r>
      <w:r w:rsidRPr="00410C95">
        <w:rPr>
          <w:rFonts w:ascii="Arial" w:hAnsi="Arial" w:cs="Arial"/>
          <w:sz w:val="22"/>
          <w:szCs w:val="22"/>
        </w:rPr>
        <w:t>leave and remain off federal cash benefits.</w:t>
      </w:r>
    </w:p>
    <w:p w:rsidR="006401C7" w:rsidRPr="00437EAF" w:rsidRDefault="0036173F" w:rsidP="006401C7">
      <w:pPr>
        <w:pStyle w:val="Header"/>
        <w:rPr>
          <w:rFonts w:ascii="Arial" w:hAnsi="Arial" w:cs="Arial"/>
          <w:sz w:val="22"/>
          <w:szCs w:val="22"/>
        </w:rPr>
      </w:pPr>
      <w:r>
        <w:rPr>
          <w:rFonts w:ascii="Arial" w:hAnsi="Arial" w:cs="Arial"/>
          <w:sz w:val="22"/>
          <w:szCs w:val="22"/>
        </w:rPr>
        <w:t>It</w:t>
      </w:r>
      <w:r w:rsidR="006401C7" w:rsidRPr="00437EAF">
        <w:rPr>
          <w:rFonts w:ascii="Arial" w:hAnsi="Arial" w:cs="Arial"/>
          <w:sz w:val="22"/>
          <w:szCs w:val="22"/>
        </w:rPr>
        <w:t xml:space="preserve"> is unacceptable for an EN to limit its business</w:t>
      </w:r>
      <w:r w:rsidR="006401C7">
        <w:rPr>
          <w:rFonts w:ascii="Arial" w:hAnsi="Arial" w:cs="Arial"/>
          <w:sz w:val="22"/>
          <w:szCs w:val="22"/>
        </w:rPr>
        <w:t xml:space="preserve"> model</w:t>
      </w:r>
      <w:r w:rsidR="006401C7" w:rsidRPr="00437EAF">
        <w:rPr>
          <w:rFonts w:ascii="Arial" w:hAnsi="Arial" w:cs="Arial"/>
          <w:sz w:val="22"/>
          <w:szCs w:val="22"/>
        </w:rPr>
        <w:t xml:space="preserve"> to assisting </w:t>
      </w:r>
      <w:r w:rsidR="006401C7">
        <w:rPr>
          <w:rFonts w:ascii="Arial" w:hAnsi="Arial" w:cs="Arial"/>
          <w:sz w:val="22"/>
          <w:szCs w:val="22"/>
        </w:rPr>
        <w:t>Ticket</w:t>
      </w:r>
      <w:r w:rsidR="006401C7" w:rsidRPr="00437EAF">
        <w:rPr>
          <w:rFonts w:ascii="Arial" w:hAnsi="Arial" w:cs="Arial"/>
          <w:sz w:val="22"/>
          <w:szCs w:val="22"/>
        </w:rPr>
        <w:t xml:space="preserve"> Holders to engage in part time employment only.  </w:t>
      </w:r>
      <w:r w:rsidR="006401C7">
        <w:rPr>
          <w:rFonts w:ascii="Arial" w:hAnsi="Arial" w:cs="Arial"/>
          <w:sz w:val="22"/>
          <w:szCs w:val="22"/>
        </w:rPr>
        <w:t xml:space="preserve">Social Security will terminate contracts of </w:t>
      </w:r>
      <w:r w:rsidR="006401C7" w:rsidRPr="00437EAF">
        <w:rPr>
          <w:rFonts w:ascii="Arial" w:hAnsi="Arial" w:cs="Arial"/>
          <w:sz w:val="22"/>
          <w:szCs w:val="22"/>
        </w:rPr>
        <w:t>ENs that purposefully engage in such practices.</w:t>
      </w:r>
      <w:r w:rsidR="006401C7">
        <w:rPr>
          <w:rFonts w:ascii="Arial" w:hAnsi="Arial" w:cs="Arial"/>
          <w:sz w:val="22"/>
          <w:szCs w:val="22"/>
        </w:rPr>
        <w:t xml:space="preserve"> </w:t>
      </w:r>
      <w:r w:rsidR="006401C7" w:rsidRPr="00207FF4">
        <w:rPr>
          <w:rFonts w:ascii="Arial" w:hAnsi="Arial" w:cs="Arial"/>
          <w:sz w:val="22"/>
          <w:szCs w:val="22"/>
        </w:rPr>
        <w:t xml:space="preserve">Social Security requires that ENs provide actual services to </w:t>
      </w:r>
      <w:r w:rsidR="006401C7">
        <w:rPr>
          <w:rFonts w:ascii="Arial" w:hAnsi="Arial" w:cs="Arial"/>
          <w:sz w:val="22"/>
          <w:szCs w:val="22"/>
        </w:rPr>
        <w:t>Ticket</w:t>
      </w:r>
      <w:r w:rsidR="006401C7" w:rsidRPr="00207FF4">
        <w:rPr>
          <w:rFonts w:ascii="Arial" w:hAnsi="Arial" w:cs="Arial"/>
          <w:sz w:val="22"/>
          <w:szCs w:val="22"/>
        </w:rPr>
        <w:t xml:space="preserve"> Holders to help them reach their employment goals before </w:t>
      </w:r>
      <w:r w:rsidR="006401C7">
        <w:rPr>
          <w:rFonts w:ascii="Arial" w:hAnsi="Arial" w:cs="Arial"/>
          <w:sz w:val="22"/>
          <w:szCs w:val="22"/>
        </w:rPr>
        <w:t>issuing any payments.</w:t>
      </w:r>
    </w:p>
    <w:p w:rsidR="006401C7" w:rsidRPr="00437EAF" w:rsidRDefault="006401C7" w:rsidP="006401C7">
      <w:pPr>
        <w:pStyle w:val="Header"/>
        <w:rPr>
          <w:rFonts w:ascii="Arial" w:hAnsi="Arial" w:cs="Arial"/>
          <w:sz w:val="22"/>
          <w:szCs w:val="22"/>
        </w:rPr>
      </w:pPr>
    </w:p>
    <w:p w:rsidR="006401C7" w:rsidRDefault="006401C7" w:rsidP="006401C7">
      <w:pPr>
        <w:pStyle w:val="Header"/>
        <w:rPr>
          <w:rFonts w:ascii="Arial" w:hAnsi="Arial" w:cs="Arial"/>
          <w:sz w:val="22"/>
          <w:szCs w:val="22"/>
        </w:rPr>
      </w:pPr>
      <w:r w:rsidRPr="00410C95">
        <w:rPr>
          <w:rFonts w:ascii="Arial" w:hAnsi="Arial" w:cs="Arial"/>
          <w:b/>
          <w:sz w:val="22"/>
          <w:szCs w:val="22"/>
        </w:rPr>
        <w:t>Payments Systems</w:t>
      </w:r>
    </w:p>
    <w:p w:rsidR="006401C7" w:rsidRDefault="006401C7" w:rsidP="006401C7">
      <w:pPr>
        <w:pStyle w:val="Header"/>
        <w:rPr>
          <w:rFonts w:ascii="Arial" w:hAnsi="Arial" w:cs="Arial"/>
          <w:sz w:val="22"/>
          <w:szCs w:val="22"/>
        </w:rPr>
      </w:pPr>
    </w:p>
    <w:p w:rsidR="006401C7" w:rsidRDefault="00CA533A" w:rsidP="006401C7">
      <w:pPr>
        <w:pStyle w:val="Header"/>
        <w:rPr>
          <w:rFonts w:ascii="Arial" w:hAnsi="Arial" w:cs="Arial"/>
          <w:sz w:val="22"/>
          <w:szCs w:val="22"/>
        </w:rPr>
      </w:pPr>
      <w:r>
        <w:rPr>
          <w:rFonts w:ascii="Arial" w:hAnsi="Arial" w:cs="Arial"/>
          <w:sz w:val="22"/>
          <w:szCs w:val="22"/>
        </w:rPr>
        <w:t>TPM</w:t>
      </w:r>
      <w:r w:rsidR="006401C7" w:rsidRPr="00437EAF">
        <w:rPr>
          <w:rFonts w:ascii="Arial" w:hAnsi="Arial" w:cs="Arial"/>
          <w:sz w:val="22"/>
          <w:szCs w:val="22"/>
        </w:rPr>
        <w:t xml:space="preserve"> pays an EN when a </w:t>
      </w:r>
      <w:r w:rsidR="006401C7">
        <w:rPr>
          <w:rFonts w:ascii="Arial" w:hAnsi="Arial" w:cs="Arial"/>
          <w:sz w:val="22"/>
          <w:szCs w:val="22"/>
        </w:rPr>
        <w:t>Ticket</w:t>
      </w:r>
      <w:r w:rsidR="006401C7" w:rsidRPr="00437EAF">
        <w:rPr>
          <w:rFonts w:ascii="Arial" w:hAnsi="Arial" w:cs="Arial"/>
          <w:sz w:val="22"/>
          <w:szCs w:val="22"/>
        </w:rPr>
        <w:t xml:space="preserve"> Holder attains certain </w:t>
      </w:r>
      <w:r w:rsidR="006401C7">
        <w:rPr>
          <w:rFonts w:ascii="Arial" w:hAnsi="Arial" w:cs="Arial"/>
          <w:sz w:val="22"/>
          <w:szCs w:val="22"/>
        </w:rPr>
        <w:t>Milestone</w:t>
      </w:r>
      <w:r w:rsidR="006401C7" w:rsidRPr="00437EAF">
        <w:rPr>
          <w:rFonts w:ascii="Arial" w:hAnsi="Arial" w:cs="Arial"/>
          <w:sz w:val="22"/>
          <w:szCs w:val="22"/>
        </w:rPr>
        <w:t xml:space="preserve">s and </w:t>
      </w:r>
      <w:r w:rsidR="006401C7">
        <w:rPr>
          <w:rFonts w:ascii="Arial" w:hAnsi="Arial" w:cs="Arial"/>
          <w:sz w:val="22"/>
          <w:szCs w:val="22"/>
        </w:rPr>
        <w:t>Outcome</w:t>
      </w:r>
      <w:r w:rsidR="006401C7" w:rsidRPr="00437EAF">
        <w:rPr>
          <w:rFonts w:ascii="Arial" w:hAnsi="Arial" w:cs="Arial"/>
          <w:sz w:val="22"/>
          <w:szCs w:val="22"/>
        </w:rPr>
        <w:t>s in moving towards self-supporting employment</w:t>
      </w:r>
      <w:r w:rsidR="006401C7">
        <w:rPr>
          <w:rFonts w:ascii="Arial" w:hAnsi="Arial" w:cs="Arial"/>
          <w:sz w:val="22"/>
          <w:szCs w:val="22"/>
        </w:rPr>
        <w:t xml:space="preserve">. There are two options to receive payments, </w:t>
      </w:r>
      <w:r w:rsidR="0036173F">
        <w:rPr>
          <w:rFonts w:ascii="Arial" w:hAnsi="Arial" w:cs="Arial"/>
          <w:sz w:val="22"/>
          <w:szCs w:val="22"/>
        </w:rPr>
        <w:t xml:space="preserve">the </w:t>
      </w:r>
      <w:r w:rsidR="006401C7">
        <w:rPr>
          <w:rFonts w:ascii="Arial" w:hAnsi="Arial" w:cs="Arial"/>
          <w:sz w:val="22"/>
          <w:szCs w:val="22"/>
        </w:rPr>
        <w:t>Milestone/Outcome and Outcome-Only Payment Systems.</w:t>
      </w:r>
    </w:p>
    <w:p w:rsidR="006401C7" w:rsidRDefault="006401C7" w:rsidP="006401C7">
      <w:pPr>
        <w:pStyle w:val="Header"/>
        <w:rPr>
          <w:rFonts w:ascii="Arial" w:hAnsi="Arial" w:cs="Arial"/>
          <w:sz w:val="22"/>
          <w:szCs w:val="22"/>
        </w:rPr>
      </w:pPr>
    </w:p>
    <w:p w:rsidR="006401C7" w:rsidRDefault="006401C7" w:rsidP="006401C7">
      <w:pPr>
        <w:pStyle w:val="Header"/>
        <w:jc w:val="center"/>
        <w:rPr>
          <w:rFonts w:ascii="Arial" w:hAnsi="Arial" w:cs="Arial"/>
          <w:sz w:val="22"/>
          <w:szCs w:val="22"/>
        </w:rPr>
      </w:pPr>
      <w:r w:rsidRPr="00BB4AEE">
        <w:rPr>
          <w:rFonts w:ascii="Arial" w:hAnsi="Arial" w:cs="Arial"/>
          <w:b/>
          <w:sz w:val="22"/>
          <w:szCs w:val="22"/>
        </w:rPr>
        <w:t xml:space="preserve">The </w:t>
      </w:r>
      <w:r>
        <w:rPr>
          <w:rFonts w:ascii="Arial" w:hAnsi="Arial" w:cs="Arial"/>
          <w:b/>
          <w:sz w:val="22"/>
          <w:szCs w:val="22"/>
        </w:rPr>
        <w:t>Milestone</w:t>
      </w:r>
      <w:r w:rsidRPr="00BB4AEE">
        <w:rPr>
          <w:rFonts w:ascii="Arial" w:hAnsi="Arial" w:cs="Arial"/>
          <w:b/>
          <w:sz w:val="22"/>
          <w:szCs w:val="22"/>
        </w:rPr>
        <w:t xml:space="preserve"> /</w:t>
      </w:r>
      <w:r>
        <w:rPr>
          <w:rFonts w:ascii="Arial" w:hAnsi="Arial" w:cs="Arial"/>
          <w:b/>
          <w:sz w:val="22"/>
          <w:szCs w:val="22"/>
        </w:rPr>
        <w:t>Outcome</w:t>
      </w:r>
      <w:r w:rsidRPr="00BB4AEE">
        <w:rPr>
          <w:rFonts w:ascii="Arial" w:hAnsi="Arial" w:cs="Arial"/>
          <w:b/>
          <w:sz w:val="22"/>
          <w:szCs w:val="22"/>
        </w:rPr>
        <w:t xml:space="preserve"> payment System</w:t>
      </w:r>
    </w:p>
    <w:p w:rsidR="006401C7" w:rsidRDefault="006401C7" w:rsidP="006401C7">
      <w:pPr>
        <w:pStyle w:val="Header"/>
        <w:rPr>
          <w:rFonts w:ascii="Arial" w:hAnsi="Arial" w:cs="Arial"/>
          <w:sz w:val="22"/>
          <w:szCs w:val="22"/>
        </w:rPr>
      </w:pPr>
    </w:p>
    <w:p w:rsidR="006401C7" w:rsidRDefault="006401C7" w:rsidP="006401C7">
      <w:pPr>
        <w:pStyle w:val="Header"/>
        <w:rPr>
          <w:rFonts w:ascii="Arial" w:hAnsi="Arial" w:cs="Arial"/>
          <w:sz w:val="22"/>
          <w:szCs w:val="22"/>
        </w:rPr>
      </w:pPr>
      <w:r>
        <w:rPr>
          <w:rFonts w:ascii="Arial" w:hAnsi="Arial" w:cs="Arial"/>
          <w:sz w:val="22"/>
          <w:szCs w:val="22"/>
        </w:rPr>
        <w:t>T</w:t>
      </w:r>
      <w:r w:rsidRPr="00437EAF">
        <w:rPr>
          <w:rFonts w:ascii="Arial" w:hAnsi="Arial" w:cs="Arial"/>
          <w:sz w:val="22"/>
          <w:szCs w:val="22"/>
        </w:rPr>
        <w:t>his payment</w:t>
      </w:r>
      <w:r>
        <w:rPr>
          <w:rFonts w:ascii="Arial" w:hAnsi="Arial" w:cs="Arial"/>
          <w:sz w:val="22"/>
          <w:szCs w:val="22"/>
        </w:rPr>
        <w:t xml:space="preserve"> system</w:t>
      </w:r>
      <w:r w:rsidRPr="00437EAF">
        <w:rPr>
          <w:rFonts w:ascii="Arial" w:hAnsi="Arial" w:cs="Arial"/>
          <w:sz w:val="22"/>
          <w:szCs w:val="22"/>
        </w:rPr>
        <w:t xml:space="preserve"> offers two sets of </w:t>
      </w:r>
      <w:r>
        <w:rPr>
          <w:rFonts w:ascii="Arial" w:hAnsi="Arial" w:cs="Arial"/>
          <w:sz w:val="22"/>
          <w:szCs w:val="22"/>
        </w:rPr>
        <w:t>Milestone</w:t>
      </w:r>
      <w:r w:rsidRPr="00437EAF">
        <w:rPr>
          <w:rFonts w:ascii="Arial" w:hAnsi="Arial" w:cs="Arial"/>
          <w:sz w:val="22"/>
          <w:szCs w:val="22"/>
        </w:rPr>
        <w:t xml:space="preserve"> payments (Phase 1 and Phase 2), as well as subsequent </w:t>
      </w:r>
      <w:r>
        <w:rPr>
          <w:rFonts w:ascii="Arial" w:hAnsi="Arial" w:cs="Arial"/>
          <w:sz w:val="22"/>
          <w:szCs w:val="22"/>
        </w:rPr>
        <w:t>Outcome</w:t>
      </w:r>
      <w:r w:rsidRPr="00437EAF">
        <w:rPr>
          <w:rFonts w:ascii="Arial" w:hAnsi="Arial" w:cs="Arial"/>
          <w:sz w:val="22"/>
          <w:szCs w:val="22"/>
        </w:rPr>
        <w:t xml:space="preserve"> payments.</w:t>
      </w:r>
    </w:p>
    <w:p w:rsidR="006401C7" w:rsidRDefault="006401C7" w:rsidP="006401C7">
      <w:pPr>
        <w:pStyle w:val="Header"/>
        <w:rPr>
          <w:rFonts w:ascii="Arial" w:hAnsi="Arial" w:cs="Arial"/>
          <w:sz w:val="22"/>
          <w:szCs w:val="22"/>
        </w:rPr>
      </w:pPr>
    </w:p>
    <w:p w:rsidR="006401C7" w:rsidRDefault="006401C7" w:rsidP="006401C7">
      <w:pPr>
        <w:pStyle w:val="Header"/>
        <w:rPr>
          <w:rFonts w:ascii="Arial" w:hAnsi="Arial" w:cs="Arial"/>
          <w:sz w:val="22"/>
          <w:szCs w:val="22"/>
        </w:rPr>
      </w:pPr>
      <w:r w:rsidRPr="00BB4AEE">
        <w:rPr>
          <w:rFonts w:ascii="Arial" w:hAnsi="Arial" w:cs="Arial"/>
          <w:b/>
          <w:sz w:val="22"/>
          <w:szCs w:val="22"/>
        </w:rPr>
        <w:lastRenderedPageBreak/>
        <w:t xml:space="preserve">Phase 1 </w:t>
      </w:r>
      <w:r>
        <w:rPr>
          <w:rFonts w:ascii="Arial" w:hAnsi="Arial" w:cs="Arial"/>
          <w:b/>
          <w:sz w:val="22"/>
          <w:szCs w:val="22"/>
        </w:rPr>
        <w:t>Milestone</w:t>
      </w:r>
      <w:r w:rsidRPr="00BB4AEE">
        <w:rPr>
          <w:rFonts w:ascii="Arial" w:hAnsi="Arial" w:cs="Arial"/>
          <w:b/>
          <w:sz w:val="22"/>
          <w:szCs w:val="22"/>
        </w:rPr>
        <w:t>s</w:t>
      </w:r>
      <w:r>
        <w:rPr>
          <w:rFonts w:ascii="Arial" w:hAnsi="Arial" w:cs="Arial"/>
          <w:b/>
          <w:sz w:val="22"/>
          <w:szCs w:val="22"/>
        </w:rPr>
        <w:t xml:space="preserve"> - </w:t>
      </w:r>
      <w:r>
        <w:rPr>
          <w:rFonts w:ascii="Arial" w:hAnsi="Arial" w:cs="Arial"/>
          <w:sz w:val="22"/>
          <w:szCs w:val="22"/>
        </w:rPr>
        <w:t xml:space="preserve">Social Security establishes the same rate for all four Phase 1 Milestones regardless of the disability program </w:t>
      </w:r>
      <w:r w:rsidR="0036173F">
        <w:rPr>
          <w:rFonts w:ascii="Arial" w:hAnsi="Arial" w:cs="Arial"/>
          <w:sz w:val="22"/>
          <w:szCs w:val="22"/>
        </w:rPr>
        <w:t xml:space="preserve">to which </w:t>
      </w:r>
      <w:r>
        <w:rPr>
          <w:rFonts w:ascii="Arial" w:hAnsi="Arial" w:cs="Arial"/>
          <w:sz w:val="22"/>
          <w:szCs w:val="22"/>
        </w:rPr>
        <w:t>the Ticket H</w:t>
      </w:r>
      <w:r w:rsidR="0036173F">
        <w:rPr>
          <w:rFonts w:ascii="Arial" w:hAnsi="Arial" w:cs="Arial"/>
          <w:sz w:val="22"/>
          <w:szCs w:val="22"/>
        </w:rPr>
        <w:t>older</w:t>
      </w:r>
      <w:r>
        <w:rPr>
          <w:rFonts w:ascii="Arial" w:hAnsi="Arial" w:cs="Arial"/>
          <w:sz w:val="22"/>
          <w:szCs w:val="22"/>
        </w:rPr>
        <w:t xml:space="preserve"> is entitled.</w:t>
      </w:r>
    </w:p>
    <w:p w:rsidR="006401C7" w:rsidRDefault="006401C7" w:rsidP="006401C7">
      <w:pPr>
        <w:pStyle w:val="Header"/>
        <w:rPr>
          <w:rFonts w:ascii="Arial" w:hAnsi="Arial" w:cs="Arial"/>
          <w:sz w:val="22"/>
          <w:szCs w:val="22"/>
        </w:rPr>
      </w:pPr>
    </w:p>
    <w:p w:rsidR="006401C7" w:rsidRDefault="006401C7" w:rsidP="006401C7">
      <w:pPr>
        <w:pStyle w:val="Header"/>
        <w:rPr>
          <w:rFonts w:ascii="Arial" w:hAnsi="Arial" w:cs="Arial"/>
          <w:sz w:val="22"/>
          <w:szCs w:val="22"/>
        </w:rPr>
      </w:pPr>
      <w:r w:rsidRPr="0078359B">
        <w:rPr>
          <w:rFonts w:ascii="Arial" w:hAnsi="Arial" w:cs="Arial"/>
          <w:sz w:val="22"/>
          <w:szCs w:val="22"/>
        </w:rPr>
        <w:t>The work and ear</w:t>
      </w:r>
      <w:r>
        <w:rPr>
          <w:rFonts w:ascii="Arial" w:hAnsi="Arial" w:cs="Arial"/>
          <w:sz w:val="22"/>
          <w:szCs w:val="22"/>
        </w:rPr>
        <w:t>nings requirement for Phase 1 Milestone</w:t>
      </w:r>
      <w:r w:rsidR="0036173F">
        <w:rPr>
          <w:rFonts w:ascii="Arial" w:hAnsi="Arial" w:cs="Arial"/>
          <w:sz w:val="22"/>
          <w:szCs w:val="22"/>
        </w:rPr>
        <w:t>s is Trial Work L</w:t>
      </w:r>
      <w:r>
        <w:rPr>
          <w:rFonts w:ascii="Arial" w:hAnsi="Arial" w:cs="Arial"/>
          <w:sz w:val="22"/>
          <w:szCs w:val="22"/>
        </w:rPr>
        <w:t>evel (TWL). TWL earnings for Phase 1 Milestone</w:t>
      </w:r>
      <w:r w:rsidRPr="0078359B">
        <w:rPr>
          <w:rFonts w:ascii="Arial" w:hAnsi="Arial" w:cs="Arial"/>
          <w:sz w:val="22"/>
          <w:szCs w:val="22"/>
        </w:rPr>
        <w:t xml:space="preserve">s are cumulative as long as the earnings occur within the </w:t>
      </w:r>
      <w:r>
        <w:rPr>
          <w:rFonts w:ascii="Arial" w:hAnsi="Arial" w:cs="Arial"/>
          <w:sz w:val="22"/>
          <w:szCs w:val="22"/>
        </w:rPr>
        <w:t xml:space="preserve">established </w:t>
      </w:r>
      <w:r w:rsidRPr="0078359B">
        <w:rPr>
          <w:rFonts w:ascii="Arial" w:hAnsi="Arial" w:cs="Arial"/>
          <w:sz w:val="22"/>
          <w:szCs w:val="22"/>
        </w:rPr>
        <w:t>designated timeframe. This means the first month of TWL earnings needed to quali</w:t>
      </w:r>
      <w:r w:rsidR="0036173F">
        <w:rPr>
          <w:rFonts w:ascii="Arial" w:hAnsi="Arial" w:cs="Arial"/>
          <w:sz w:val="22"/>
          <w:szCs w:val="22"/>
        </w:rPr>
        <w:t>fy for P1M1 counts towards the three</w:t>
      </w:r>
      <w:r w:rsidRPr="0078359B">
        <w:rPr>
          <w:rFonts w:ascii="Arial" w:hAnsi="Arial" w:cs="Arial"/>
          <w:sz w:val="22"/>
          <w:szCs w:val="22"/>
        </w:rPr>
        <w:t xml:space="preserve"> months of TWL earnings needed to qualify for P1M2</w:t>
      </w:r>
      <w:r>
        <w:rPr>
          <w:rFonts w:ascii="Arial" w:hAnsi="Arial" w:cs="Arial"/>
          <w:sz w:val="22"/>
          <w:szCs w:val="22"/>
        </w:rPr>
        <w:t xml:space="preserve">; </w:t>
      </w:r>
      <w:r w:rsidR="0036173F">
        <w:rPr>
          <w:rFonts w:ascii="Arial" w:hAnsi="Arial" w:cs="Arial"/>
          <w:sz w:val="22"/>
          <w:szCs w:val="22"/>
        </w:rPr>
        <w:t>the three</w:t>
      </w:r>
      <w:r w:rsidRPr="00BB4AEE">
        <w:rPr>
          <w:rFonts w:ascii="Arial" w:hAnsi="Arial" w:cs="Arial"/>
          <w:sz w:val="22"/>
          <w:szCs w:val="22"/>
        </w:rPr>
        <w:t xml:space="preserve"> months of TWL earnings needed to qualify for P1M2 counts towards the 6 months of earnings needed to qualify for P1M3</w:t>
      </w:r>
      <w:r>
        <w:t xml:space="preserve">; </w:t>
      </w:r>
      <w:r>
        <w:rPr>
          <w:rFonts w:ascii="Arial" w:hAnsi="Arial" w:cs="Arial"/>
          <w:sz w:val="22"/>
          <w:szCs w:val="22"/>
        </w:rPr>
        <w:t xml:space="preserve">and so on. </w:t>
      </w:r>
    </w:p>
    <w:p w:rsidR="006401C7" w:rsidRDefault="006401C7" w:rsidP="006401C7">
      <w:pPr>
        <w:pStyle w:val="Header"/>
        <w:rPr>
          <w:rFonts w:ascii="Arial" w:hAnsi="Arial" w:cs="Arial"/>
          <w:sz w:val="22"/>
          <w:szCs w:val="22"/>
        </w:rPr>
      </w:pPr>
    </w:p>
    <w:p w:rsidR="006401C7" w:rsidRDefault="006401C7" w:rsidP="006401C7">
      <w:pPr>
        <w:pStyle w:val="Header"/>
        <w:rPr>
          <w:rFonts w:ascii="Arial" w:hAnsi="Arial" w:cs="Arial"/>
          <w:sz w:val="22"/>
          <w:szCs w:val="22"/>
        </w:rPr>
      </w:pPr>
      <w:r>
        <w:rPr>
          <w:rFonts w:ascii="Arial" w:hAnsi="Arial" w:cs="Arial"/>
          <w:sz w:val="22"/>
          <w:szCs w:val="22"/>
        </w:rPr>
        <w:t>There is one exception to the earnings requirement that applies to P1/M1. An EN can submit a payment request for P1/M1 if the beneficiary’s earnings are ≥ 50% of TWL (earned during the last period of the claim month requested) and &lt; full TWL and the beneficiary is expected to achieve TWL earnings within the next two months. However, it is highly recommended that an EN wait and submit a payment request once the beneficiary earns a full month of TWL earnings. This process will prevent a possible overpayment situation if the beneficiary does not achieve earnings at or above TWL within the 2-month period.</w:t>
      </w:r>
    </w:p>
    <w:p w:rsidR="006401C7" w:rsidRDefault="006401C7" w:rsidP="006401C7">
      <w:pPr>
        <w:pStyle w:val="Header"/>
        <w:rPr>
          <w:rFonts w:ascii="Arial" w:hAnsi="Arial" w:cs="Arial"/>
          <w:sz w:val="22"/>
          <w:szCs w:val="22"/>
        </w:rPr>
      </w:pPr>
      <w:r>
        <w:rPr>
          <w:rFonts w:ascii="Arial" w:hAnsi="Arial" w:cs="Arial"/>
          <w:sz w:val="22"/>
          <w:szCs w:val="22"/>
        </w:rPr>
        <w:t xml:space="preserve">   </w:t>
      </w:r>
    </w:p>
    <w:p w:rsidR="006401C7" w:rsidRDefault="006401C7" w:rsidP="006401C7">
      <w:pPr>
        <w:pStyle w:val="Header"/>
        <w:rPr>
          <w:rFonts w:ascii="Arial" w:hAnsi="Arial" w:cs="Arial"/>
          <w:sz w:val="22"/>
          <w:szCs w:val="22"/>
        </w:rPr>
      </w:pPr>
      <w:r>
        <w:rPr>
          <w:rFonts w:ascii="Arial" w:hAnsi="Arial" w:cs="Arial"/>
          <w:sz w:val="22"/>
          <w:szCs w:val="22"/>
        </w:rPr>
        <w:t xml:space="preserve">Please see the chart below, it outlines the Phase 1 Milestone payments based on a Ticket Holder’s gross earnings  </w:t>
      </w:r>
    </w:p>
    <w:p w:rsidR="006401C7" w:rsidRPr="00437EAF" w:rsidRDefault="006401C7" w:rsidP="006401C7">
      <w:pPr>
        <w:pStyle w:val="Header"/>
        <w:jc w:val="center"/>
        <w:rPr>
          <w:rFonts w:ascii="Arial" w:hAnsi="Arial" w:cs="Arial"/>
          <w:b/>
          <w:sz w:val="22"/>
          <w:szCs w:val="22"/>
        </w:rPr>
      </w:pPr>
    </w:p>
    <w:p w:rsidR="006401C7" w:rsidRPr="00437EAF" w:rsidRDefault="006401C7" w:rsidP="006401C7">
      <w:pPr>
        <w:pStyle w:val="Header"/>
        <w:jc w:val="center"/>
        <w:rPr>
          <w:rFonts w:ascii="Arial" w:hAnsi="Arial" w:cs="Arial"/>
          <w:b/>
          <w:sz w:val="22"/>
          <w:szCs w:val="22"/>
        </w:rPr>
      </w:pPr>
      <w:r w:rsidRPr="00437EAF">
        <w:rPr>
          <w:rFonts w:ascii="Arial" w:hAnsi="Arial" w:cs="Arial"/>
          <w:b/>
          <w:sz w:val="22"/>
          <w:szCs w:val="22"/>
        </w:rPr>
        <w:t xml:space="preserve">Phase 1 </w:t>
      </w:r>
      <w:r>
        <w:rPr>
          <w:rFonts w:ascii="Arial" w:hAnsi="Arial" w:cs="Arial"/>
          <w:b/>
          <w:sz w:val="22"/>
          <w:szCs w:val="22"/>
        </w:rPr>
        <w:t>Milestone</w:t>
      </w:r>
      <w:r w:rsidRPr="00437EAF">
        <w:rPr>
          <w:rFonts w:ascii="Arial" w:hAnsi="Arial" w:cs="Arial"/>
          <w:b/>
          <w:sz w:val="22"/>
          <w:szCs w:val="22"/>
        </w:rPr>
        <w:t xml:space="preserve"> Payments </w:t>
      </w:r>
      <w:r w:rsidR="00A50A6E">
        <w:rPr>
          <w:rFonts w:ascii="Arial" w:hAnsi="Arial" w:cs="Arial"/>
          <w:b/>
          <w:sz w:val="22"/>
          <w:szCs w:val="22"/>
        </w:rPr>
        <w:t>2017</w:t>
      </w:r>
      <w:r>
        <w:rPr>
          <w:rFonts w:ascii="Arial" w:hAnsi="Arial" w:cs="Arial"/>
          <w:b/>
          <w:sz w:val="22"/>
          <w:szCs w:val="22"/>
        </w:rPr>
        <w:t xml:space="preserve"> </w:t>
      </w:r>
      <w:r w:rsidRPr="00437EAF">
        <w:rPr>
          <w:rFonts w:ascii="Arial" w:hAnsi="Arial" w:cs="Arial"/>
          <w:b/>
          <w:sz w:val="22"/>
          <w:szCs w:val="22"/>
        </w:rPr>
        <w:t>Rates</w:t>
      </w:r>
    </w:p>
    <w:p w:rsidR="006401C7" w:rsidRDefault="006401C7" w:rsidP="006401C7">
      <w:pPr>
        <w:pStyle w:val="Heade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323"/>
        <w:gridCol w:w="1655"/>
        <w:gridCol w:w="1579"/>
      </w:tblGrid>
      <w:tr w:rsidR="006401C7" w:rsidRPr="00D134FC" w:rsidTr="00D134F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Payment Type</w:t>
            </w:r>
          </w:p>
        </w:t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Ticket Holder Gross Earnings</w:t>
            </w:r>
          </w:p>
        </w:t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EN Payment (SSDI)</w:t>
            </w:r>
          </w:p>
        </w:t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EN Payment (SSI)</w:t>
            </w:r>
          </w:p>
        </w:tc>
      </w:tr>
      <w:tr w:rsidR="006401C7" w:rsidRPr="00D134FC" w:rsidTr="00D134FC">
        <w:trPr>
          <w:trHeight w:val="512"/>
        </w:trPr>
        <w:tc>
          <w:tcPr>
            <w:tcW w:w="0" w:type="auto"/>
          </w:tcPr>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Phase 1 Milestone 1</w:t>
            </w:r>
          </w:p>
        </w:tc>
        <w:tc>
          <w:tcPr>
            <w:tcW w:w="0" w:type="auto"/>
          </w:tcPr>
          <w:p w:rsidR="006401C7" w:rsidRPr="00D134FC" w:rsidRDefault="006401C7" w:rsidP="00A50A6E">
            <w:pPr>
              <w:pStyle w:val="Header"/>
              <w:jc w:val="center"/>
              <w:rPr>
                <w:rFonts w:ascii="Arial" w:hAnsi="Arial" w:cs="Arial"/>
                <w:sz w:val="22"/>
                <w:szCs w:val="22"/>
              </w:rPr>
            </w:pPr>
            <w:r w:rsidRPr="00D134FC">
              <w:rPr>
                <w:rFonts w:ascii="Arial" w:hAnsi="Arial" w:cs="Arial"/>
                <w:sz w:val="22"/>
                <w:szCs w:val="22"/>
              </w:rPr>
              <w:t xml:space="preserve">≥ </w:t>
            </w:r>
            <w:r w:rsidR="00A50A6E" w:rsidRPr="00D134FC">
              <w:rPr>
                <w:rFonts w:ascii="Arial" w:hAnsi="Arial" w:cs="Arial"/>
                <w:sz w:val="22"/>
                <w:szCs w:val="22"/>
              </w:rPr>
              <w:t>$840</w:t>
            </w:r>
            <w:r w:rsidRPr="00D134FC">
              <w:rPr>
                <w:rFonts w:ascii="Arial" w:hAnsi="Arial" w:cs="Arial"/>
                <w:sz w:val="22"/>
                <w:szCs w:val="22"/>
              </w:rPr>
              <w:t>/mo. for 1 calendar month</w:t>
            </w:r>
            <w:r w:rsidRPr="00D134FC">
              <w:rPr>
                <w:rFonts w:ascii="Arial" w:hAnsi="Arial" w:cs="Arial"/>
                <w:b/>
                <w:sz w:val="22"/>
                <w:szCs w:val="22"/>
              </w:rPr>
              <w:t>*</w:t>
            </w:r>
          </w:p>
        </w:tc>
        <w:tc>
          <w:tcPr>
            <w:tcW w:w="0" w:type="auto"/>
          </w:tcPr>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w:t>
            </w:r>
            <w:r w:rsidR="00A50A6E" w:rsidRPr="00D134FC">
              <w:rPr>
                <w:rFonts w:ascii="Arial" w:hAnsi="Arial" w:cs="Arial"/>
                <w:sz w:val="22"/>
                <w:szCs w:val="22"/>
              </w:rPr>
              <w:t>1,400</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$1,400</w:t>
            </w:r>
          </w:p>
        </w:tc>
      </w:tr>
      <w:tr w:rsidR="006401C7" w:rsidRPr="00D134FC" w:rsidTr="00D134FC">
        <w:tc>
          <w:tcPr>
            <w:tcW w:w="0" w:type="auto"/>
          </w:tcPr>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Milestone 2</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 $840</w:t>
            </w:r>
            <w:r w:rsidR="006401C7" w:rsidRPr="00D134FC">
              <w:rPr>
                <w:rFonts w:ascii="Arial" w:hAnsi="Arial" w:cs="Arial"/>
                <w:sz w:val="22"/>
                <w:szCs w:val="22"/>
              </w:rPr>
              <w:t>/mo. for 3 months w/in 6 months (cumulative)</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$1,400</w:t>
            </w:r>
          </w:p>
        </w:tc>
        <w:tc>
          <w:tcPr>
            <w:tcW w:w="0" w:type="auto"/>
          </w:tcPr>
          <w:p w:rsidR="006401C7" w:rsidRPr="00D134FC" w:rsidRDefault="006401C7" w:rsidP="00A50A6E">
            <w:pPr>
              <w:pStyle w:val="Header"/>
              <w:jc w:val="center"/>
              <w:rPr>
                <w:rFonts w:ascii="Arial" w:hAnsi="Arial" w:cs="Arial"/>
                <w:sz w:val="22"/>
                <w:szCs w:val="22"/>
              </w:rPr>
            </w:pPr>
            <w:r w:rsidRPr="00D134FC">
              <w:rPr>
                <w:rFonts w:ascii="Arial" w:hAnsi="Arial" w:cs="Arial"/>
                <w:sz w:val="22"/>
                <w:szCs w:val="22"/>
              </w:rPr>
              <w:t>$1,</w:t>
            </w:r>
            <w:r w:rsidR="00A50A6E" w:rsidRPr="00D134FC">
              <w:rPr>
                <w:rFonts w:ascii="Arial" w:hAnsi="Arial" w:cs="Arial"/>
                <w:sz w:val="22"/>
                <w:szCs w:val="22"/>
              </w:rPr>
              <w:t>400</w:t>
            </w:r>
          </w:p>
        </w:tc>
      </w:tr>
      <w:tr w:rsidR="006401C7" w:rsidRPr="00D134FC" w:rsidTr="00D134FC">
        <w:tc>
          <w:tcPr>
            <w:tcW w:w="0" w:type="auto"/>
          </w:tcPr>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Milestone 3</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 $840</w:t>
            </w:r>
            <w:r w:rsidR="006401C7" w:rsidRPr="00D134FC">
              <w:rPr>
                <w:rFonts w:ascii="Arial" w:hAnsi="Arial" w:cs="Arial"/>
                <w:sz w:val="22"/>
                <w:szCs w:val="22"/>
              </w:rPr>
              <w:t>/mo. for 6 months w/in 12 months (cumulative)</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$1,400</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$1,400</w:t>
            </w:r>
          </w:p>
        </w:tc>
      </w:tr>
      <w:tr w:rsidR="006401C7" w:rsidRPr="00D134FC" w:rsidTr="00D134FC">
        <w:trPr>
          <w:trHeight w:val="422"/>
        </w:trPr>
        <w:tc>
          <w:tcPr>
            <w:tcW w:w="0" w:type="auto"/>
          </w:tcPr>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Milestone 4</w:t>
            </w:r>
          </w:p>
        </w:tc>
        <w:tc>
          <w:tcPr>
            <w:tcW w:w="0" w:type="auto"/>
          </w:tcPr>
          <w:p w:rsidR="006401C7" w:rsidRPr="00D134FC" w:rsidRDefault="00A50A6E" w:rsidP="00A50A6E">
            <w:pPr>
              <w:pStyle w:val="Header"/>
              <w:jc w:val="center"/>
              <w:rPr>
                <w:rFonts w:ascii="Arial" w:hAnsi="Arial" w:cs="Arial"/>
                <w:sz w:val="22"/>
                <w:szCs w:val="22"/>
              </w:rPr>
            </w:pPr>
            <w:r w:rsidRPr="00D134FC">
              <w:rPr>
                <w:rFonts w:ascii="Arial" w:hAnsi="Arial" w:cs="Arial"/>
                <w:sz w:val="22"/>
                <w:szCs w:val="22"/>
              </w:rPr>
              <w:t>≥ $840</w:t>
            </w:r>
            <w:r w:rsidR="006401C7" w:rsidRPr="00D134FC">
              <w:rPr>
                <w:rFonts w:ascii="Arial" w:hAnsi="Arial" w:cs="Arial"/>
                <w:sz w:val="22"/>
                <w:szCs w:val="22"/>
              </w:rPr>
              <w:t>/mo. for 9 months w/in 18 months</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$1,400</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$1,400</w:t>
            </w:r>
          </w:p>
        </w:tc>
      </w:tr>
      <w:tr w:rsidR="006401C7" w:rsidRPr="00D134FC" w:rsidTr="00D134FC">
        <w:tc>
          <w:tcPr>
            <w:tcW w:w="0" w:type="auto"/>
          </w:tcPr>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Total Potential Phase 1 Milestone Payments</w:t>
            </w:r>
          </w:p>
        </w:tc>
        <w:tc>
          <w:tcPr>
            <w:tcW w:w="0" w:type="auto"/>
          </w:tcPr>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$5,600</w:t>
            </w:r>
          </w:p>
        </w:tc>
        <w:tc>
          <w:tcPr>
            <w:tcW w:w="0" w:type="auto"/>
          </w:tcPr>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$5,600</w:t>
            </w:r>
          </w:p>
        </w:tc>
      </w:tr>
    </w:tbl>
    <w:p w:rsidR="006401C7" w:rsidRDefault="006401C7" w:rsidP="006401C7">
      <w:pPr>
        <w:pStyle w:val="Header"/>
        <w:tabs>
          <w:tab w:val="clear" w:pos="4680"/>
        </w:tabs>
        <w:rPr>
          <w:rFonts w:ascii="Arial" w:hAnsi="Arial" w:cs="Arial"/>
          <w:b/>
        </w:rPr>
      </w:pPr>
    </w:p>
    <w:p w:rsidR="006401C7" w:rsidRDefault="006401C7" w:rsidP="006401C7">
      <w:pPr>
        <w:pStyle w:val="Header"/>
        <w:rPr>
          <w:rFonts w:ascii="Arial" w:hAnsi="Arial" w:cs="Arial"/>
          <w:sz w:val="22"/>
          <w:szCs w:val="22"/>
        </w:rPr>
      </w:pPr>
      <w:r>
        <w:rPr>
          <w:rFonts w:ascii="Arial" w:hAnsi="Arial" w:cs="Arial"/>
          <w:sz w:val="22"/>
          <w:szCs w:val="22"/>
        </w:rPr>
        <w:t>To qualify for Ph</w:t>
      </w:r>
      <w:r w:rsidR="0036173F">
        <w:rPr>
          <w:rFonts w:ascii="Arial" w:hAnsi="Arial" w:cs="Arial"/>
          <w:sz w:val="22"/>
          <w:szCs w:val="22"/>
        </w:rPr>
        <w:t xml:space="preserve">ase </w:t>
      </w:r>
      <w:r>
        <w:rPr>
          <w:rFonts w:ascii="Arial" w:hAnsi="Arial" w:cs="Arial"/>
          <w:sz w:val="22"/>
          <w:szCs w:val="22"/>
        </w:rPr>
        <w:t>1/Milestone payment, the following criteria has to be met:</w:t>
      </w:r>
    </w:p>
    <w:p w:rsidR="006401C7" w:rsidRDefault="006401C7" w:rsidP="006401C7">
      <w:pPr>
        <w:pStyle w:val="Header"/>
        <w:rPr>
          <w:rFonts w:ascii="Arial" w:hAnsi="Arial" w:cs="Arial"/>
          <w:sz w:val="22"/>
          <w:szCs w:val="22"/>
        </w:rPr>
      </w:pPr>
      <w:r>
        <w:rPr>
          <w:rFonts w:ascii="Arial" w:hAnsi="Arial" w:cs="Arial"/>
          <w:sz w:val="22"/>
          <w:szCs w:val="22"/>
        </w:rPr>
        <w:t xml:space="preserve"> </w:t>
      </w:r>
    </w:p>
    <w:p w:rsidR="006401C7" w:rsidRDefault="006401C7" w:rsidP="006401C7">
      <w:pPr>
        <w:pStyle w:val="Header"/>
        <w:numPr>
          <w:ilvl w:val="0"/>
          <w:numId w:val="14"/>
        </w:numPr>
        <w:tabs>
          <w:tab w:val="clear" w:pos="4680"/>
          <w:tab w:val="clear" w:pos="9360"/>
        </w:tabs>
        <w:rPr>
          <w:rFonts w:ascii="Arial" w:hAnsi="Arial" w:cs="Arial"/>
          <w:sz w:val="22"/>
          <w:szCs w:val="22"/>
        </w:rPr>
      </w:pPr>
      <w:r>
        <w:rPr>
          <w:rFonts w:ascii="Arial" w:hAnsi="Arial" w:cs="Arial"/>
          <w:sz w:val="22"/>
          <w:szCs w:val="22"/>
        </w:rPr>
        <w:t>Beneficiary’s benefits must be in current pay status, this means, the beneficiary is receiving a Federal cash benefit payment.</w:t>
      </w:r>
    </w:p>
    <w:p w:rsidR="006401C7" w:rsidRDefault="006401C7" w:rsidP="006401C7">
      <w:pPr>
        <w:pStyle w:val="Header"/>
        <w:numPr>
          <w:ilvl w:val="0"/>
          <w:numId w:val="14"/>
        </w:numPr>
        <w:tabs>
          <w:tab w:val="clear" w:pos="4680"/>
          <w:tab w:val="clear" w:pos="9360"/>
        </w:tabs>
        <w:rPr>
          <w:rFonts w:ascii="Arial" w:hAnsi="Arial" w:cs="Arial"/>
          <w:sz w:val="22"/>
          <w:szCs w:val="22"/>
        </w:rPr>
      </w:pPr>
      <w:r>
        <w:rPr>
          <w:rFonts w:ascii="Arial" w:hAnsi="Arial" w:cs="Arial"/>
          <w:sz w:val="22"/>
          <w:szCs w:val="22"/>
        </w:rPr>
        <w:t>The beneficiary is working and earnings are at or above the Trial Work L</w:t>
      </w:r>
      <w:r w:rsidR="00A50A6E">
        <w:rPr>
          <w:rFonts w:ascii="Arial" w:hAnsi="Arial" w:cs="Arial"/>
          <w:sz w:val="22"/>
          <w:szCs w:val="22"/>
        </w:rPr>
        <w:t>evel (TWL) TWL earnings for 2017 is $840</w:t>
      </w:r>
      <w:r>
        <w:rPr>
          <w:rFonts w:ascii="Arial" w:hAnsi="Arial" w:cs="Arial"/>
          <w:sz w:val="22"/>
          <w:szCs w:val="22"/>
        </w:rPr>
        <w:t xml:space="preserve"> a month.</w:t>
      </w:r>
    </w:p>
    <w:p w:rsidR="006401C7" w:rsidRDefault="006401C7" w:rsidP="006401C7">
      <w:pPr>
        <w:pStyle w:val="Header"/>
        <w:numPr>
          <w:ilvl w:val="0"/>
          <w:numId w:val="14"/>
        </w:numPr>
        <w:tabs>
          <w:tab w:val="clear" w:pos="4680"/>
          <w:tab w:val="clear" w:pos="9360"/>
        </w:tabs>
        <w:rPr>
          <w:rFonts w:ascii="Arial" w:hAnsi="Arial" w:cs="Arial"/>
          <w:sz w:val="22"/>
          <w:szCs w:val="22"/>
        </w:rPr>
      </w:pPr>
      <w:r>
        <w:rPr>
          <w:rFonts w:ascii="Arial" w:hAnsi="Arial" w:cs="Arial"/>
          <w:sz w:val="22"/>
          <w:szCs w:val="22"/>
        </w:rPr>
        <w:t>T</w:t>
      </w:r>
      <w:r w:rsidRPr="00437EAF">
        <w:rPr>
          <w:rFonts w:ascii="Arial" w:hAnsi="Arial" w:cs="Arial"/>
          <w:sz w:val="22"/>
          <w:szCs w:val="22"/>
        </w:rPr>
        <w:t xml:space="preserve">he work must be associated with a </w:t>
      </w:r>
      <w:r>
        <w:rPr>
          <w:rFonts w:ascii="Arial" w:hAnsi="Arial" w:cs="Arial"/>
          <w:sz w:val="22"/>
          <w:szCs w:val="22"/>
        </w:rPr>
        <w:t>job</w:t>
      </w:r>
      <w:r w:rsidRPr="00437EAF">
        <w:rPr>
          <w:rFonts w:ascii="Arial" w:hAnsi="Arial" w:cs="Arial"/>
          <w:sz w:val="22"/>
          <w:szCs w:val="22"/>
        </w:rPr>
        <w:t>.</w:t>
      </w:r>
      <w:r>
        <w:rPr>
          <w:rFonts w:ascii="Arial" w:hAnsi="Arial" w:cs="Arial"/>
          <w:sz w:val="22"/>
          <w:szCs w:val="22"/>
        </w:rPr>
        <w:t xml:space="preserve"> This does not include </w:t>
      </w:r>
      <w:r w:rsidRPr="00437EAF">
        <w:rPr>
          <w:rFonts w:ascii="Arial" w:hAnsi="Arial" w:cs="Arial"/>
          <w:sz w:val="22"/>
          <w:szCs w:val="22"/>
        </w:rPr>
        <w:t xml:space="preserve">paid vocational training with no record of continued </w:t>
      </w:r>
      <w:r>
        <w:rPr>
          <w:rFonts w:ascii="Arial" w:hAnsi="Arial" w:cs="Arial"/>
          <w:sz w:val="22"/>
          <w:szCs w:val="22"/>
        </w:rPr>
        <w:t>TWL</w:t>
      </w:r>
      <w:r w:rsidRPr="00437EAF">
        <w:rPr>
          <w:rFonts w:ascii="Arial" w:hAnsi="Arial" w:cs="Arial"/>
          <w:sz w:val="22"/>
          <w:szCs w:val="22"/>
        </w:rPr>
        <w:t xml:space="preserve"> employment. Social Security recognizes that it can take time for a disability beneficiary to be able to work full-time and will compensate an EN when the services it provides help a </w:t>
      </w:r>
      <w:r>
        <w:rPr>
          <w:rFonts w:ascii="Arial" w:hAnsi="Arial" w:cs="Arial"/>
          <w:sz w:val="22"/>
          <w:szCs w:val="22"/>
        </w:rPr>
        <w:t>Ticket</w:t>
      </w:r>
      <w:r w:rsidRPr="00437EAF">
        <w:rPr>
          <w:rFonts w:ascii="Arial" w:hAnsi="Arial" w:cs="Arial"/>
          <w:sz w:val="22"/>
          <w:szCs w:val="22"/>
        </w:rPr>
        <w:t xml:space="preserve"> Holder reach the Trial Work earnings level.  However, the </w:t>
      </w:r>
      <w:r>
        <w:rPr>
          <w:rFonts w:ascii="Arial" w:hAnsi="Arial" w:cs="Arial"/>
          <w:sz w:val="22"/>
          <w:szCs w:val="22"/>
        </w:rPr>
        <w:t>Ticket</w:t>
      </w:r>
      <w:r w:rsidRPr="00437EAF">
        <w:rPr>
          <w:rFonts w:ascii="Arial" w:hAnsi="Arial" w:cs="Arial"/>
          <w:sz w:val="22"/>
          <w:szCs w:val="22"/>
        </w:rPr>
        <w:t xml:space="preserve"> Holder must have earnings above SGA as an eventual goal and the Individual Work Plan</w:t>
      </w:r>
      <w:r>
        <w:rPr>
          <w:rFonts w:ascii="Arial" w:hAnsi="Arial" w:cs="Arial"/>
          <w:sz w:val="22"/>
          <w:szCs w:val="22"/>
        </w:rPr>
        <w:t xml:space="preserve"> (contract of services an EN agrees to provide a </w:t>
      </w:r>
      <w:r>
        <w:rPr>
          <w:rFonts w:ascii="Arial" w:hAnsi="Arial" w:cs="Arial"/>
          <w:sz w:val="22"/>
          <w:szCs w:val="22"/>
        </w:rPr>
        <w:lastRenderedPageBreak/>
        <w:t xml:space="preserve">beneficiary) </w:t>
      </w:r>
      <w:r w:rsidRPr="00437EAF">
        <w:rPr>
          <w:rFonts w:ascii="Arial" w:hAnsi="Arial" w:cs="Arial"/>
          <w:sz w:val="22"/>
          <w:szCs w:val="22"/>
        </w:rPr>
        <w:t xml:space="preserve">must include services and supports to assist the beneficiary to reach that earnings goal. </w:t>
      </w:r>
    </w:p>
    <w:p w:rsidR="006401C7" w:rsidRDefault="006401C7" w:rsidP="006401C7">
      <w:pPr>
        <w:pStyle w:val="Header"/>
        <w:numPr>
          <w:ilvl w:val="0"/>
          <w:numId w:val="14"/>
        </w:numPr>
        <w:tabs>
          <w:tab w:val="clear" w:pos="4680"/>
          <w:tab w:val="clear" w:pos="9360"/>
        </w:tabs>
        <w:rPr>
          <w:rFonts w:ascii="Arial" w:hAnsi="Arial" w:cs="Arial"/>
          <w:sz w:val="22"/>
          <w:szCs w:val="22"/>
        </w:rPr>
      </w:pPr>
      <w:r>
        <w:rPr>
          <w:rFonts w:ascii="Arial" w:hAnsi="Arial" w:cs="Arial"/>
          <w:sz w:val="22"/>
          <w:szCs w:val="22"/>
        </w:rPr>
        <w:t>Some exclusions that apply to the Phase 1 Milestone payments can result in an EN being excluded from receiving these payments:</w:t>
      </w:r>
    </w:p>
    <w:p w:rsidR="006401C7" w:rsidRDefault="006401C7" w:rsidP="006401C7">
      <w:pPr>
        <w:pStyle w:val="Header"/>
        <w:numPr>
          <w:ilvl w:val="0"/>
          <w:numId w:val="15"/>
        </w:numPr>
        <w:tabs>
          <w:tab w:val="clear" w:pos="4680"/>
          <w:tab w:val="clear" w:pos="9360"/>
        </w:tabs>
        <w:rPr>
          <w:rFonts w:ascii="Arial" w:hAnsi="Arial" w:cs="Arial"/>
          <w:sz w:val="22"/>
          <w:szCs w:val="22"/>
        </w:rPr>
      </w:pPr>
      <w:r w:rsidRPr="000C3DA4">
        <w:rPr>
          <w:rFonts w:ascii="Arial" w:hAnsi="Arial" w:cs="Arial"/>
          <w:b/>
          <w:sz w:val="22"/>
          <w:szCs w:val="22"/>
        </w:rPr>
        <w:t>Prior State Vocational Rehabilitation Services Rule</w:t>
      </w:r>
      <w:r>
        <w:rPr>
          <w:rFonts w:ascii="Arial" w:hAnsi="Arial" w:cs="Arial"/>
          <w:sz w:val="22"/>
          <w:szCs w:val="22"/>
        </w:rPr>
        <w:t>: No P1/MS will</w:t>
      </w:r>
      <w:r w:rsidRPr="00783C72">
        <w:rPr>
          <w:rFonts w:ascii="Arial" w:hAnsi="Arial" w:cs="Arial"/>
          <w:sz w:val="22"/>
          <w:szCs w:val="22"/>
        </w:rPr>
        <w:t xml:space="preserve"> be available to the EN</w:t>
      </w:r>
      <w:r>
        <w:rPr>
          <w:rFonts w:ascii="Arial" w:hAnsi="Arial" w:cs="Arial"/>
          <w:sz w:val="22"/>
          <w:szCs w:val="22"/>
        </w:rPr>
        <w:t xml:space="preserve"> if the State Vocational Rehabilitation (VR) agency previously served the </w:t>
      </w:r>
      <w:r w:rsidRPr="00783C72">
        <w:rPr>
          <w:rFonts w:ascii="Arial" w:hAnsi="Arial" w:cs="Arial"/>
          <w:sz w:val="22"/>
          <w:szCs w:val="22"/>
        </w:rPr>
        <w:t xml:space="preserve">beneficiary </w:t>
      </w:r>
      <w:r>
        <w:rPr>
          <w:rFonts w:ascii="Arial" w:hAnsi="Arial" w:cs="Arial"/>
          <w:sz w:val="22"/>
          <w:szCs w:val="22"/>
        </w:rPr>
        <w:t>and the VR successful</w:t>
      </w:r>
      <w:r w:rsidR="00F20068">
        <w:rPr>
          <w:rFonts w:ascii="Arial" w:hAnsi="Arial" w:cs="Arial"/>
          <w:sz w:val="22"/>
          <w:szCs w:val="22"/>
        </w:rPr>
        <w:t>ly</w:t>
      </w:r>
      <w:r>
        <w:rPr>
          <w:rFonts w:ascii="Arial" w:hAnsi="Arial" w:cs="Arial"/>
          <w:sz w:val="22"/>
          <w:szCs w:val="22"/>
        </w:rPr>
        <w:t xml:space="preserve"> closed the most recent case. This rule applies to all successful closures since January 2002. </w:t>
      </w:r>
    </w:p>
    <w:p w:rsidR="006401C7" w:rsidRDefault="006401C7" w:rsidP="006401C7">
      <w:pPr>
        <w:pStyle w:val="Header"/>
        <w:numPr>
          <w:ilvl w:val="0"/>
          <w:numId w:val="15"/>
        </w:numPr>
        <w:tabs>
          <w:tab w:val="clear" w:pos="4680"/>
          <w:tab w:val="clear" w:pos="9360"/>
        </w:tabs>
        <w:rPr>
          <w:rFonts w:ascii="Arial" w:hAnsi="Arial" w:cs="Arial"/>
          <w:sz w:val="22"/>
          <w:szCs w:val="22"/>
        </w:rPr>
      </w:pPr>
      <w:r w:rsidRPr="000C3DA4">
        <w:rPr>
          <w:rFonts w:ascii="Arial" w:hAnsi="Arial" w:cs="Arial"/>
          <w:b/>
          <w:sz w:val="22"/>
          <w:szCs w:val="22"/>
        </w:rPr>
        <w:t>18 Months Look Back Rule</w:t>
      </w:r>
      <w:r>
        <w:rPr>
          <w:rFonts w:ascii="Arial" w:hAnsi="Arial" w:cs="Arial"/>
          <w:sz w:val="22"/>
          <w:szCs w:val="22"/>
        </w:rPr>
        <w:t>:</w:t>
      </w:r>
      <w:r w:rsidRPr="00783C72">
        <w:rPr>
          <w:rFonts w:ascii="Arial" w:hAnsi="Arial" w:cs="Arial"/>
          <w:sz w:val="22"/>
          <w:szCs w:val="22"/>
        </w:rPr>
        <w:t xml:space="preserve"> </w:t>
      </w:r>
      <w:r w:rsidR="00F20068">
        <w:rPr>
          <w:rFonts w:ascii="Arial" w:hAnsi="Arial" w:cs="Arial"/>
          <w:sz w:val="22"/>
          <w:szCs w:val="22"/>
        </w:rPr>
        <w:t>If a b</w:t>
      </w:r>
      <w:r>
        <w:rPr>
          <w:rFonts w:ascii="Arial" w:hAnsi="Arial" w:cs="Arial"/>
          <w:sz w:val="22"/>
          <w:szCs w:val="22"/>
        </w:rPr>
        <w:t>eneficiary had TWL earnings during some or all of the 18 months prior to the first Ticket assignment to the EN and after the date of disability onset, some or all of the P1/MS may be not available to the EN.</w:t>
      </w:r>
      <w:r w:rsidRPr="00783C72">
        <w:rPr>
          <w:rFonts w:ascii="Arial" w:hAnsi="Arial" w:cs="Arial"/>
          <w:sz w:val="22"/>
          <w:szCs w:val="22"/>
        </w:rPr>
        <w:t xml:space="preserve"> </w:t>
      </w:r>
    </w:p>
    <w:p w:rsidR="006401C7" w:rsidRDefault="006401C7" w:rsidP="006401C7">
      <w:pPr>
        <w:pStyle w:val="Header"/>
        <w:numPr>
          <w:ilvl w:val="0"/>
          <w:numId w:val="16"/>
        </w:numPr>
        <w:tabs>
          <w:tab w:val="clear" w:pos="4680"/>
          <w:tab w:val="clear" w:pos="9360"/>
        </w:tabs>
        <w:ind w:left="1800"/>
        <w:rPr>
          <w:rFonts w:ascii="Arial" w:hAnsi="Arial" w:cs="Arial"/>
          <w:sz w:val="22"/>
          <w:szCs w:val="22"/>
        </w:rPr>
      </w:pPr>
      <w:r w:rsidRPr="00F30F4D">
        <w:rPr>
          <w:rFonts w:ascii="Arial" w:hAnsi="Arial" w:cs="Arial"/>
          <w:sz w:val="22"/>
          <w:szCs w:val="22"/>
        </w:rPr>
        <w:t>If</w:t>
      </w:r>
      <w:r w:rsidR="00F20068">
        <w:rPr>
          <w:rFonts w:ascii="Arial" w:hAnsi="Arial" w:cs="Arial"/>
          <w:sz w:val="22"/>
          <w:szCs w:val="22"/>
        </w:rPr>
        <w:t xml:space="preserve"> the b</w:t>
      </w:r>
      <w:r w:rsidRPr="00F30F4D">
        <w:rPr>
          <w:rFonts w:ascii="Arial" w:hAnsi="Arial" w:cs="Arial"/>
          <w:sz w:val="22"/>
          <w:szCs w:val="22"/>
        </w:rPr>
        <w:t>eneficiary worked t</w:t>
      </w:r>
      <w:r>
        <w:rPr>
          <w:rFonts w:ascii="Arial" w:hAnsi="Arial" w:cs="Arial"/>
          <w:sz w:val="22"/>
          <w:szCs w:val="22"/>
        </w:rPr>
        <w:t>he month immediately prior to the Ticket assignment date (TAD), then P</w:t>
      </w:r>
      <w:r w:rsidRPr="00F30F4D">
        <w:rPr>
          <w:rFonts w:ascii="Arial" w:hAnsi="Arial" w:cs="Arial"/>
          <w:sz w:val="22"/>
          <w:szCs w:val="22"/>
        </w:rPr>
        <w:t>1/M1 will be unavailable.</w:t>
      </w:r>
    </w:p>
    <w:p w:rsidR="006401C7" w:rsidRDefault="00F20068" w:rsidP="006401C7">
      <w:pPr>
        <w:pStyle w:val="Header"/>
        <w:numPr>
          <w:ilvl w:val="0"/>
          <w:numId w:val="16"/>
        </w:numPr>
        <w:tabs>
          <w:tab w:val="clear" w:pos="4680"/>
          <w:tab w:val="clear" w:pos="9360"/>
        </w:tabs>
        <w:ind w:left="1800"/>
        <w:rPr>
          <w:rFonts w:ascii="Arial" w:hAnsi="Arial" w:cs="Arial"/>
          <w:sz w:val="22"/>
          <w:szCs w:val="22"/>
        </w:rPr>
      </w:pPr>
      <w:r>
        <w:rPr>
          <w:rFonts w:ascii="Arial" w:hAnsi="Arial" w:cs="Arial"/>
          <w:sz w:val="22"/>
          <w:szCs w:val="22"/>
        </w:rPr>
        <w:t>If the b</w:t>
      </w:r>
      <w:r w:rsidR="006401C7" w:rsidRPr="00F30F4D">
        <w:rPr>
          <w:rFonts w:ascii="Arial" w:hAnsi="Arial" w:cs="Arial"/>
          <w:sz w:val="22"/>
          <w:szCs w:val="22"/>
        </w:rPr>
        <w:t>eneficiary worked 3 months out of</w:t>
      </w:r>
      <w:r w:rsidR="006401C7">
        <w:rPr>
          <w:rFonts w:ascii="Arial" w:hAnsi="Arial" w:cs="Arial"/>
          <w:sz w:val="22"/>
          <w:szCs w:val="22"/>
        </w:rPr>
        <w:t xml:space="preserve"> 6 months prior the TAD, then P</w:t>
      </w:r>
      <w:r w:rsidR="006401C7" w:rsidRPr="00F30F4D">
        <w:rPr>
          <w:rFonts w:ascii="Arial" w:hAnsi="Arial" w:cs="Arial"/>
          <w:sz w:val="22"/>
          <w:szCs w:val="22"/>
        </w:rPr>
        <w:t>1/M2 will be unavailable.</w:t>
      </w:r>
    </w:p>
    <w:p w:rsidR="006401C7" w:rsidRDefault="00F20068" w:rsidP="006401C7">
      <w:pPr>
        <w:pStyle w:val="Header"/>
        <w:numPr>
          <w:ilvl w:val="0"/>
          <w:numId w:val="16"/>
        </w:numPr>
        <w:tabs>
          <w:tab w:val="clear" w:pos="4680"/>
          <w:tab w:val="clear" w:pos="9360"/>
        </w:tabs>
        <w:ind w:left="1800"/>
        <w:rPr>
          <w:rFonts w:ascii="Arial" w:hAnsi="Arial" w:cs="Arial"/>
          <w:sz w:val="22"/>
          <w:szCs w:val="22"/>
        </w:rPr>
      </w:pPr>
      <w:r>
        <w:rPr>
          <w:rFonts w:ascii="Arial" w:hAnsi="Arial" w:cs="Arial"/>
          <w:sz w:val="22"/>
          <w:szCs w:val="22"/>
        </w:rPr>
        <w:t>If the b</w:t>
      </w:r>
      <w:r w:rsidR="006401C7" w:rsidRPr="00F30F4D">
        <w:rPr>
          <w:rFonts w:ascii="Arial" w:hAnsi="Arial" w:cs="Arial"/>
          <w:sz w:val="22"/>
          <w:szCs w:val="22"/>
        </w:rPr>
        <w:t xml:space="preserve">eneficiary worked 6 months out of 12 months prior </w:t>
      </w:r>
      <w:r w:rsidR="006401C7">
        <w:rPr>
          <w:rFonts w:ascii="Arial" w:hAnsi="Arial" w:cs="Arial"/>
          <w:sz w:val="22"/>
          <w:szCs w:val="22"/>
        </w:rPr>
        <w:t>the TAD, then P</w:t>
      </w:r>
      <w:r w:rsidR="006401C7" w:rsidRPr="00F30F4D">
        <w:rPr>
          <w:rFonts w:ascii="Arial" w:hAnsi="Arial" w:cs="Arial"/>
          <w:sz w:val="22"/>
          <w:szCs w:val="22"/>
        </w:rPr>
        <w:t>1/M3 will be unavailable.</w:t>
      </w:r>
    </w:p>
    <w:p w:rsidR="006401C7" w:rsidRDefault="00F20068" w:rsidP="006401C7">
      <w:pPr>
        <w:pStyle w:val="Header"/>
        <w:numPr>
          <w:ilvl w:val="0"/>
          <w:numId w:val="16"/>
        </w:numPr>
        <w:tabs>
          <w:tab w:val="clear" w:pos="4680"/>
          <w:tab w:val="clear" w:pos="9360"/>
        </w:tabs>
        <w:ind w:left="1800"/>
        <w:rPr>
          <w:rFonts w:ascii="Arial" w:hAnsi="Arial" w:cs="Arial"/>
          <w:sz w:val="22"/>
          <w:szCs w:val="22"/>
        </w:rPr>
      </w:pPr>
      <w:r>
        <w:rPr>
          <w:rFonts w:ascii="Arial" w:hAnsi="Arial" w:cs="Arial"/>
          <w:sz w:val="22"/>
          <w:szCs w:val="22"/>
        </w:rPr>
        <w:t>If the b</w:t>
      </w:r>
      <w:r w:rsidR="006401C7" w:rsidRPr="00F30F4D">
        <w:rPr>
          <w:rFonts w:ascii="Arial" w:hAnsi="Arial" w:cs="Arial"/>
          <w:sz w:val="22"/>
          <w:szCs w:val="22"/>
        </w:rPr>
        <w:t xml:space="preserve">eneficiary worked 9 months out of </w:t>
      </w:r>
      <w:r w:rsidR="006401C7">
        <w:rPr>
          <w:rFonts w:ascii="Arial" w:hAnsi="Arial" w:cs="Arial"/>
          <w:sz w:val="22"/>
          <w:szCs w:val="22"/>
        </w:rPr>
        <w:t>18 months prior the TAD, then P</w:t>
      </w:r>
      <w:r w:rsidR="006401C7" w:rsidRPr="00F30F4D">
        <w:rPr>
          <w:rFonts w:ascii="Arial" w:hAnsi="Arial" w:cs="Arial"/>
          <w:sz w:val="22"/>
          <w:szCs w:val="22"/>
        </w:rPr>
        <w:t>1/M4 will be unavailable.</w:t>
      </w:r>
    </w:p>
    <w:p w:rsidR="006401C7" w:rsidRDefault="006401C7" w:rsidP="006401C7">
      <w:pPr>
        <w:pStyle w:val="Header"/>
        <w:tabs>
          <w:tab w:val="clear" w:pos="4680"/>
          <w:tab w:val="clear" w:pos="9360"/>
        </w:tabs>
        <w:ind w:left="1800" w:hanging="360"/>
        <w:rPr>
          <w:rFonts w:ascii="Arial" w:hAnsi="Arial" w:cs="Arial"/>
          <w:sz w:val="22"/>
          <w:szCs w:val="22"/>
        </w:rPr>
      </w:pPr>
    </w:p>
    <w:p w:rsidR="006401C7" w:rsidRDefault="006401C7" w:rsidP="006401C7">
      <w:pPr>
        <w:pStyle w:val="Header"/>
        <w:tabs>
          <w:tab w:val="clear" w:pos="4680"/>
          <w:tab w:val="clear" w:pos="9360"/>
        </w:tabs>
        <w:rPr>
          <w:rFonts w:ascii="Arial" w:hAnsi="Arial" w:cs="Arial"/>
          <w:sz w:val="22"/>
          <w:szCs w:val="22"/>
        </w:rPr>
      </w:pPr>
      <w:r w:rsidRPr="00C53544">
        <w:rPr>
          <w:rFonts w:ascii="Arial" w:hAnsi="Arial" w:cs="Arial"/>
          <w:b/>
          <w:sz w:val="22"/>
          <w:szCs w:val="22"/>
        </w:rPr>
        <w:t xml:space="preserve">Phase 2 </w:t>
      </w:r>
      <w:r>
        <w:rPr>
          <w:rFonts w:ascii="Arial" w:hAnsi="Arial" w:cs="Arial"/>
          <w:b/>
          <w:sz w:val="22"/>
          <w:szCs w:val="22"/>
        </w:rPr>
        <w:t>Milestone</w:t>
      </w:r>
      <w:r w:rsidRPr="00C53544">
        <w:rPr>
          <w:rFonts w:ascii="Arial" w:hAnsi="Arial" w:cs="Arial"/>
          <w:b/>
          <w:sz w:val="22"/>
          <w:szCs w:val="22"/>
        </w:rPr>
        <w:t>s</w:t>
      </w:r>
      <w:r>
        <w:rPr>
          <w:rFonts w:ascii="Arial" w:hAnsi="Arial" w:cs="Arial"/>
          <w:sz w:val="22"/>
          <w:szCs w:val="22"/>
        </w:rPr>
        <w:t xml:space="preserve"> - This set of Milestones </w:t>
      </w:r>
      <w:r w:rsidR="00F20068">
        <w:rPr>
          <w:rFonts w:ascii="Arial" w:hAnsi="Arial" w:cs="Arial"/>
          <w:sz w:val="22"/>
          <w:szCs w:val="22"/>
        </w:rPr>
        <w:t xml:space="preserve">is </w:t>
      </w:r>
      <w:r>
        <w:rPr>
          <w:rFonts w:ascii="Arial" w:hAnsi="Arial" w:cs="Arial"/>
          <w:sz w:val="22"/>
          <w:szCs w:val="22"/>
        </w:rPr>
        <w:t xml:space="preserve">available to the EN based on the same criteria as P1/MS with the exception of the earnings requirement. The beneficiary’s earnings must be at or above SGA or SGA Blind (SGA-Blind) for blind or visually impaired beneficiaries. </w:t>
      </w:r>
      <w:r w:rsidRPr="00437EAF">
        <w:rPr>
          <w:rFonts w:ascii="Arial" w:hAnsi="Arial" w:cs="Arial"/>
          <w:sz w:val="22"/>
          <w:szCs w:val="22"/>
        </w:rPr>
        <w:t xml:space="preserve">SGA levels in </w:t>
      </w:r>
      <w:r w:rsidR="00A50A6E">
        <w:rPr>
          <w:rFonts w:ascii="Arial" w:hAnsi="Arial" w:cs="Arial"/>
          <w:sz w:val="22"/>
          <w:szCs w:val="22"/>
        </w:rPr>
        <w:t>2017</w:t>
      </w:r>
      <w:r w:rsidRPr="00437EAF">
        <w:rPr>
          <w:rFonts w:ascii="Arial" w:hAnsi="Arial" w:cs="Arial"/>
          <w:sz w:val="22"/>
          <w:szCs w:val="22"/>
        </w:rPr>
        <w:t xml:space="preserve"> are as follows: $</w:t>
      </w:r>
      <w:r w:rsidR="00A50A6E">
        <w:rPr>
          <w:rFonts w:ascii="Arial" w:hAnsi="Arial" w:cs="Arial"/>
          <w:sz w:val="22"/>
          <w:szCs w:val="22"/>
        </w:rPr>
        <w:t>1,170</w:t>
      </w:r>
      <w:r w:rsidRPr="00437EAF">
        <w:rPr>
          <w:rFonts w:ascii="Arial" w:hAnsi="Arial" w:cs="Arial"/>
          <w:sz w:val="22"/>
          <w:szCs w:val="22"/>
        </w:rPr>
        <w:t>/month for</w:t>
      </w:r>
      <w:r>
        <w:rPr>
          <w:rFonts w:ascii="Arial" w:hAnsi="Arial" w:cs="Arial"/>
          <w:sz w:val="22"/>
          <w:szCs w:val="22"/>
        </w:rPr>
        <w:t xml:space="preserve"> non-blind</w:t>
      </w:r>
      <w:r w:rsidRPr="00437EAF">
        <w:rPr>
          <w:rFonts w:ascii="Arial" w:hAnsi="Arial" w:cs="Arial"/>
          <w:sz w:val="22"/>
          <w:szCs w:val="22"/>
        </w:rPr>
        <w:t xml:space="preserve"> </w:t>
      </w:r>
      <w:r>
        <w:rPr>
          <w:rFonts w:ascii="Arial" w:hAnsi="Arial" w:cs="Arial"/>
          <w:sz w:val="22"/>
          <w:szCs w:val="22"/>
        </w:rPr>
        <w:t>Ticket</w:t>
      </w:r>
      <w:r w:rsidRPr="00437EAF">
        <w:rPr>
          <w:rFonts w:ascii="Arial" w:hAnsi="Arial" w:cs="Arial"/>
          <w:sz w:val="22"/>
          <w:szCs w:val="22"/>
        </w:rPr>
        <w:t xml:space="preserve"> Holders and $</w:t>
      </w:r>
      <w:r w:rsidR="00A50A6E">
        <w:rPr>
          <w:rFonts w:ascii="Arial" w:hAnsi="Arial" w:cs="Arial"/>
          <w:sz w:val="22"/>
          <w:szCs w:val="22"/>
        </w:rPr>
        <w:t>1,950</w:t>
      </w:r>
      <w:r>
        <w:rPr>
          <w:rFonts w:ascii="Arial" w:hAnsi="Arial" w:cs="Arial"/>
          <w:sz w:val="22"/>
          <w:szCs w:val="22"/>
        </w:rPr>
        <w:t xml:space="preserve"> per </w:t>
      </w:r>
      <w:r w:rsidRPr="00437EAF">
        <w:rPr>
          <w:rFonts w:ascii="Arial" w:hAnsi="Arial" w:cs="Arial"/>
          <w:sz w:val="22"/>
          <w:szCs w:val="22"/>
        </w:rPr>
        <w:t xml:space="preserve">month for </w:t>
      </w:r>
      <w:r>
        <w:rPr>
          <w:rFonts w:ascii="Arial" w:hAnsi="Arial" w:cs="Arial"/>
          <w:sz w:val="22"/>
          <w:szCs w:val="22"/>
        </w:rPr>
        <w:t>Ticket</w:t>
      </w:r>
      <w:r w:rsidRPr="00437EAF">
        <w:rPr>
          <w:rFonts w:ascii="Arial" w:hAnsi="Arial" w:cs="Arial"/>
          <w:sz w:val="22"/>
          <w:szCs w:val="22"/>
        </w:rPr>
        <w:t xml:space="preserve"> Holders who</w:t>
      </w:r>
      <w:r>
        <w:rPr>
          <w:rFonts w:ascii="Arial" w:hAnsi="Arial" w:cs="Arial"/>
          <w:sz w:val="22"/>
          <w:szCs w:val="22"/>
        </w:rPr>
        <w:t xml:space="preserve"> are blind or visually impaired. The number of P2/MS the EN can receive vary depending on the type of disability benefits the Ticket Holder receives.</w:t>
      </w:r>
    </w:p>
    <w:p w:rsidR="006401C7" w:rsidRDefault="00F20068" w:rsidP="006401C7">
      <w:pPr>
        <w:pStyle w:val="Header"/>
        <w:numPr>
          <w:ilvl w:val="0"/>
          <w:numId w:val="17"/>
        </w:numPr>
        <w:tabs>
          <w:tab w:val="clear" w:pos="4680"/>
          <w:tab w:val="clear" w:pos="9360"/>
        </w:tabs>
        <w:rPr>
          <w:rFonts w:ascii="Arial" w:hAnsi="Arial" w:cs="Arial"/>
          <w:sz w:val="22"/>
          <w:szCs w:val="22"/>
        </w:rPr>
      </w:pPr>
      <w:r>
        <w:rPr>
          <w:rFonts w:ascii="Arial" w:hAnsi="Arial" w:cs="Arial"/>
          <w:sz w:val="22"/>
          <w:szCs w:val="22"/>
        </w:rPr>
        <w:t>SSDI b</w:t>
      </w:r>
      <w:r w:rsidR="006401C7">
        <w:rPr>
          <w:rFonts w:ascii="Arial" w:hAnsi="Arial" w:cs="Arial"/>
          <w:sz w:val="22"/>
          <w:szCs w:val="22"/>
        </w:rPr>
        <w:t>eneficiaries: ENs can qualify for up to 11 Ph</w:t>
      </w:r>
      <w:r>
        <w:rPr>
          <w:rFonts w:ascii="Arial" w:hAnsi="Arial" w:cs="Arial"/>
          <w:sz w:val="22"/>
          <w:szCs w:val="22"/>
        </w:rPr>
        <w:t>ase 2 Milestone</w:t>
      </w:r>
      <w:r w:rsidR="006401C7">
        <w:rPr>
          <w:rFonts w:ascii="Arial" w:hAnsi="Arial" w:cs="Arial"/>
          <w:sz w:val="22"/>
          <w:szCs w:val="22"/>
        </w:rPr>
        <w:t xml:space="preserve"> payments </w:t>
      </w:r>
    </w:p>
    <w:p w:rsidR="006401C7" w:rsidRDefault="00F20068" w:rsidP="006401C7">
      <w:pPr>
        <w:pStyle w:val="Header"/>
        <w:numPr>
          <w:ilvl w:val="0"/>
          <w:numId w:val="17"/>
        </w:numPr>
        <w:tabs>
          <w:tab w:val="clear" w:pos="4680"/>
          <w:tab w:val="clear" w:pos="9360"/>
        </w:tabs>
        <w:rPr>
          <w:rFonts w:ascii="Arial" w:hAnsi="Arial" w:cs="Arial"/>
          <w:sz w:val="22"/>
          <w:szCs w:val="22"/>
        </w:rPr>
      </w:pPr>
      <w:r>
        <w:rPr>
          <w:rFonts w:ascii="Arial" w:hAnsi="Arial" w:cs="Arial"/>
          <w:sz w:val="22"/>
          <w:szCs w:val="22"/>
        </w:rPr>
        <w:t>SSI b</w:t>
      </w:r>
      <w:r w:rsidR="006401C7">
        <w:rPr>
          <w:rFonts w:ascii="Arial" w:hAnsi="Arial" w:cs="Arial"/>
          <w:sz w:val="22"/>
          <w:szCs w:val="22"/>
        </w:rPr>
        <w:t>eneficiaries: ENs</w:t>
      </w:r>
      <w:r>
        <w:rPr>
          <w:rFonts w:ascii="Arial" w:hAnsi="Arial" w:cs="Arial"/>
          <w:sz w:val="22"/>
          <w:szCs w:val="22"/>
        </w:rPr>
        <w:t xml:space="preserve"> can qualify for up to 18 Phase 2 Milestone</w:t>
      </w:r>
      <w:r w:rsidR="006401C7">
        <w:rPr>
          <w:rFonts w:ascii="Arial" w:hAnsi="Arial" w:cs="Arial"/>
          <w:sz w:val="22"/>
          <w:szCs w:val="22"/>
        </w:rPr>
        <w:t xml:space="preserve"> payments.</w:t>
      </w:r>
    </w:p>
    <w:p w:rsidR="006401C7" w:rsidRDefault="006401C7" w:rsidP="006401C7">
      <w:pPr>
        <w:pStyle w:val="Header"/>
        <w:tabs>
          <w:tab w:val="clear" w:pos="4680"/>
          <w:tab w:val="clear" w:pos="9360"/>
        </w:tabs>
        <w:rPr>
          <w:rFonts w:ascii="Arial" w:hAnsi="Arial" w:cs="Arial"/>
          <w:sz w:val="22"/>
          <w:szCs w:val="22"/>
        </w:rPr>
      </w:pPr>
    </w:p>
    <w:p w:rsidR="006401C7" w:rsidRDefault="006401C7" w:rsidP="006401C7">
      <w:pPr>
        <w:pStyle w:val="Header"/>
        <w:tabs>
          <w:tab w:val="clear" w:pos="4680"/>
          <w:tab w:val="clear" w:pos="9360"/>
        </w:tabs>
        <w:rPr>
          <w:rFonts w:ascii="Arial" w:hAnsi="Arial" w:cs="Arial"/>
          <w:sz w:val="22"/>
          <w:szCs w:val="22"/>
        </w:rPr>
      </w:pPr>
      <w:r>
        <w:rPr>
          <w:rFonts w:ascii="Arial" w:hAnsi="Arial" w:cs="Arial"/>
          <w:sz w:val="22"/>
          <w:szCs w:val="22"/>
        </w:rPr>
        <w:t>Please see the chart below, it outlines Phase 2 Milestone payments based on beneficiary’s type of benefits (SSDI/SSI).</w:t>
      </w:r>
    </w:p>
    <w:p w:rsidR="006401C7" w:rsidRPr="007C62F9" w:rsidRDefault="006401C7" w:rsidP="006401C7">
      <w:pPr>
        <w:pStyle w:val="Header"/>
        <w:tabs>
          <w:tab w:val="clear" w:pos="4680"/>
          <w:tab w:val="clear" w:pos="9360"/>
        </w:tabs>
        <w:ind w:left="2208"/>
        <w:rPr>
          <w:rFonts w:ascii="Arial" w:hAnsi="Arial" w:cs="Arial"/>
          <w:sz w:val="22"/>
          <w:szCs w:val="22"/>
        </w:rPr>
      </w:pPr>
    </w:p>
    <w:p w:rsidR="006401C7" w:rsidRPr="00437EAF" w:rsidRDefault="006401C7" w:rsidP="006401C7">
      <w:pPr>
        <w:pStyle w:val="Header"/>
        <w:tabs>
          <w:tab w:val="clear" w:pos="4680"/>
          <w:tab w:val="clear" w:pos="9360"/>
        </w:tabs>
        <w:jc w:val="center"/>
        <w:rPr>
          <w:rFonts w:ascii="Arial" w:hAnsi="Arial" w:cs="Arial"/>
          <w:b/>
          <w:sz w:val="22"/>
          <w:szCs w:val="22"/>
        </w:rPr>
      </w:pPr>
      <w:r w:rsidRPr="00437EAF">
        <w:rPr>
          <w:rFonts w:ascii="Arial" w:hAnsi="Arial" w:cs="Arial"/>
          <w:b/>
          <w:sz w:val="22"/>
          <w:szCs w:val="22"/>
        </w:rPr>
        <w:t xml:space="preserve">Phase 2 </w:t>
      </w:r>
      <w:r>
        <w:rPr>
          <w:rFonts w:ascii="Arial" w:hAnsi="Arial" w:cs="Arial"/>
          <w:b/>
          <w:sz w:val="22"/>
          <w:szCs w:val="22"/>
        </w:rPr>
        <w:t>Milestone</w:t>
      </w:r>
      <w:r w:rsidRPr="00437EAF">
        <w:rPr>
          <w:rFonts w:ascii="Arial" w:hAnsi="Arial" w:cs="Arial"/>
          <w:b/>
          <w:sz w:val="22"/>
          <w:szCs w:val="22"/>
        </w:rPr>
        <w:t xml:space="preserve"> Payments </w:t>
      </w:r>
      <w:r w:rsidR="00A50A6E">
        <w:rPr>
          <w:rFonts w:ascii="Arial" w:hAnsi="Arial" w:cs="Arial"/>
          <w:b/>
          <w:sz w:val="22"/>
          <w:szCs w:val="22"/>
        </w:rPr>
        <w:t>2017</w:t>
      </w:r>
      <w:r>
        <w:rPr>
          <w:rFonts w:ascii="Arial" w:hAnsi="Arial" w:cs="Arial"/>
          <w:b/>
          <w:sz w:val="22"/>
          <w:szCs w:val="22"/>
        </w:rPr>
        <w:t xml:space="preserve"> </w:t>
      </w:r>
      <w:r w:rsidRPr="00437EAF">
        <w:rPr>
          <w:rFonts w:ascii="Arial" w:hAnsi="Arial" w:cs="Arial"/>
          <w:b/>
          <w:sz w:val="22"/>
          <w:szCs w:val="22"/>
        </w:rPr>
        <w:t>Rates</w:t>
      </w:r>
    </w:p>
    <w:p w:rsidR="006401C7" w:rsidRDefault="006401C7" w:rsidP="006401C7">
      <w:pPr>
        <w:pStyle w:val="Header"/>
        <w:tabs>
          <w:tab w:val="clear" w:pos="4680"/>
          <w:tab w:val="clear" w:pos="936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940"/>
        <w:gridCol w:w="1880"/>
        <w:gridCol w:w="1880"/>
      </w:tblGrid>
      <w:tr w:rsidR="006401C7" w:rsidRPr="00A934B3" w:rsidTr="002A2F55">
        <w:trPr>
          <w:jc w:val="center"/>
        </w:trPr>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Payment Type</w:t>
            </w:r>
          </w:p>
        </w:t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Ticket Holder Gross Earnings</w:t>
            </w:r>
          </w:p>
        </w:t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EN Payment (SSDI)</w:t>
            </w:r>
          </w:p>
        </w:tc>
        <w:tc>
          <w:tcPr>
            <w:tcW w:w="0" w:type="auto"/>
            <w:shd w:val="pct10" w:color="auto" w:fill="auto"/>
          </w:tcPr>
          <w:p w:rsidR="006401C7" w:rsidRPr="00D134FC" w:rsidRDefault="006401C7" w:rsidP="002A2F55">
            <w:pPr>
              <w:pStyle w:val="Header"/>
              <w:jc w:val="center"/>
              <w:rPr>
                <w:rFonts w:ascii="Arial" w:hAnsi="Arial" w:cs="Arial"/>
                <w:b/>
                <w:sz w:val="22"/>
                <w:szCs w:val="22"/>
              </w:rPr>
            </w:pPr>
            <w:r w:rsidRPr="00D134FC">
              <w:rPr>
                <w:rFonts w:ascii="Arial" w:hAnsi="Arial" w:cs="Arial"/>
                <w:b/>
                <w:sz w:val="22"/>
                <w:szCs w:val="22"/>
              </w:rPr>
              <w:t>EN Payment (SSI)</w:t>
            </w:r>
          </w:p>
        </w:tc>
      </w:tr>
      <w:tr w:rsidR="006401C7" w:rsidRPr="00A934B3" w:rsidTr="002A2F55">
        <w:trPr>
          <w:trHeight w:val="692"/>
          <w:jc w:val="center"/>
        </w:trPr>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Phase 2</w:t>
            </w:r>
          </w:p>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 xml:space="preserve">Gross ≥ SGA </w:t>
            </w:r>
            <w:r w:rsidR="00A50A6E" w:rsidRPr="00D134FC">
              <w:rPr>
                <w:rFonts w:ascii="Arial" w:hAnsi="Arial" w:cs="Arial"/>
                <w:sz w:val="22"/>
                <w:szCs w:val="22"/>
              </w:rPr>
              <w:t>($1,170/non-blind; $1,950</w:t>
            </w:r>
            <w:r w:rsidRPr="00D134FC">
              <w:rPr>
                <w:rFonts w:ascii="Arial" w:hAnsi="Arial" w:cs="Arial"/>
                <w:sz w:val="22"/>
                <w:szCs w:val="22"/>
              </w:rPr>
              <w:t xml:space="preserve"> for blind)</w:t>
            </w:r>
          </w:p>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A50A6E" w:rsidP="002A2F55">
            <w:pPr>
              <w:pStyle w:val="Header"/>
              <w:jc w:val="center"/>
              <w:rPr>
                <w:rFonts w:ascii="Arial" w:hAnsi="Arial" w:cs="Arial"/>
                <w:sz w:val="22"/>
                <w:szCs w:val="22"/>
              </w:rPr>
            </w:pPr>
            <w:r w:rsidRPr="00D134FC">
              <w:rPr>
                <w:rFonts w:ascii="Arial" w:hAnsi="Arial" w:cs="Arial"/>
                <w:sz w:val="22"/>
                <w:szCs w:val="22"/>
              </w:rPr>
              <w:t>$420</w:t>
            </w:r>
            <w:r w:rsidR="006401C7" w:rsidRPr="00D134FC">
              <w:rPr>
                <w:rFonts w:ascii="Arial" w:hAnsi="Arial" w:cs="Arial"/>
                <w:sz w:val="22"/>
                <w:szCs w:val="22"/>
              </w:rPr>
              <w:t>/mo. (up to 11 months)</w:t>
            </w: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7C7019" w:rsidP="002A2F55">
            <w:pPr>
              <w:pStyle w:val="Header"/>
              <w:jc w:val="center"/>
              <w:rPr>
                <w:rFonts w:ascii="Arial" w:hAnsi="Arial" w:cs="Arial"/>
                <w:sz w:val="22"/>
                <w:szCs w:val="22"/>
              </w:rPr>
            </w:pPr>
            <w:r w:rsidRPr="00D134FC">
              <w:rPr>
                <w:rFonts w:ascii="Arial" w:hAnsi="Arial" w:cs="Arial"/>
                <w:sz w:val="22"/>
                <w:szCs w:val="22"/>
              </w:rPr>
              <w:t>$242</w:t>
            </w:r>
            <w:r w:rsidR="006401C7" w:rsidRPr="00D134FC">
              <w:rPr>
                <w:rFonts w:ascii="Arial" w:hAnsi="Arial" w:cs="Arial"/>
                <w:sz w:val="22"/>
                <w:szCs w:val="22"/>
              </w:rPr>
              <w:t>/mo. (up to 18 months)</w:t>
            </w:r>
          </w:p>
        </w:tc>
      </w:tr>
      <w:tr w:rsidR="006401C7" w:rsidRPr="00A934B3" w:rsidTr="002A2F55">
        <w:trPr>
          <w:jc w:val="center"/>
        </w:trPr>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Total Phase 2 Payments</w:t>
            </w:r>
          </w:p>
        </w:tc>
        <w:tc>
          <w:tcPr>
            <w:tcW w:w="0" w:type="auto"/>
          </w:tcPr>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7C7019" w:rsidP="002A2F55">
            <w:pPr>
              <w:pStyle w:val="Header"/>
              <w:jc w:val="center"/>
              <w:rPr>
                <w:rFonts w:ascii="Arial" w:hAnsi="Arial" w:cs="Arial"/>
                <w:sz w:val="22"/>
                <w:szCs w:val="22"/>
              </w:rPr>
            </w:pPr>
            <w:r w:rsidRPr="00D134FC">
              <w:rPr>
                <w:rFonts w:ascii="Arial" w:hAnsi="Arial" w:cs="Arial"/>
                <w:sz w:val="22"/>
                <w:szCs w:val="22"/>
              </w:rPr>
              <w:t>$4,620</w:t>
            </w:r>
          </w:p>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7C7019" w:rsidP="002A2F55">
            <w:pPr>
              <w:pStyle w:val="Header"/>
              <w:jc w:val="center"/>
              <w:rPr>
                <w:rFonts w:ascii="Arial" w:hAnsi="Arial" w:cs="Arial"/>
                <w:sz w:val="22"/>
                <w:szCs w:val="22"/>
              </w:rPr>
            </w:pPr>
            <w:r w:rsidRPr="00D134FC">
              <w:rPr>
                <w:rFonts w:ascii="Arial" w:hAnsi="Arial" w:cs="Arial"/>
                <w:sz w:val="22"/>
                <w:szCs w:val="22"/>
              </w:rPr>
              <w:t>$4,356</w:t>
            </w:r>
          </w:p>
        </w:tc>
      </w:tr>
      <w:tr w:rsidR="006401C7" w:rsidRPr="00A934B3" w:rsidTr="002A2F55">
        <w:trPr>
          <w:trHeight w:val="638"/>
          <w:jc w:val="center"/>
        </w:trPr>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Total Potential Ticket Payments Phases 1 &amp; 2</w:t>
            </w:r>
          </w:p>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6401C7" w:rsidP="002A2F55">
            <w:pPr>
              <w:pStyle w:val="Header"/>
              <w:jc w:val="center"/>
              <w:rPr>
                <w:rFonts w:ascii="Arial" w:hAnsi="Arial" w:cs="Arial"/>
                <w:sz w:val="22"/>
                <w:szCs w:val="22"/>
              </w:rPr>
            </w:pPr>
            <w:r w:rsidRPr="00D134FC">
              <w:rPr>
                <w:rFonts w:ascii="Arial" w:hAnsi="Arial" w:cs="Arial"/>
                <w:sz w:val="22"/>
                <w:szCs w:val="22"/>
              </w:rPr>
              <w:t>Phase 1 &amp; 2</w:t>
            </w: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7C7019" w:rsidP="002A2F55">
            <w:pPr>
              <w:pStyle w:val="Header"/>
              <w:jc w:val="center"/>
              <w:rPr>
                <w:rFonts w:ascii="Arial" w:hAnsi="Arial" w:cs="Arial"/>
                <w:sz w:val="22"/>
                <w:szCs w:val="22"/>
              </w:rPr>
            </w:pPr>
            <w:r w:rsidRPr="00D134FC">
              <w:rPr>
                <w:rFonts w:ascii="Arial" w:hAnsi="Arial" w:cs="Arial"/>
                <w:sz w:val="22"/>
                <w:szCs w:val="22"/>
              </w:rPr>
              <w:t>$10,220</w:t>
            </w:r>
          </w:p>
          <w:p w:rsidR="006401C7" w:rsidRPr="00D134FC" w:rsidRDefault="006401C7" w:rsidP="002A2F55">
            <w:pPr>
              <w:pStyle w:val="Header"/>
              <w:jc w:val="center"/>
              <w:rPr>
                <w:rFonts w:ascii="Arial" w:hAnsi="Arial" w:cs="Arial"/>
                <w:sz w:val="22"/>
                <w:szCs w:val="22"/>
              </w:rPr>
            </w:pPr>
          </w:p>
        </w:tc>
        <w:tc>
          <w:tcPr>
            <w:tcW w:w="0" w:type="auto"/>
          </w:tcPr>
          <w:p w:rsidR="006401C7" w:rsidRPr="00D134FC" w:rsidRDefault="006401C7" w:rsidP="002A2F55">
            <w:pPr>
              <w:pStyle w:val="Header"/>
              <w:jc w:val="center"/>
              <w:rPr>
                <w:rFonts w:ascii="Arial" w:hAnsi="Arial" w:cs="Arial"/>
                <w:sz w:val="22"/>
                <w:szCs w:val="22"/>
              </w:rPr>
            </w:pPr>
          </w:p>
          <w:p w:rsidR="006401C7" w:rsidRPr="00D134FC" w:rsidRDefault="007C7019" w:rsidP="002A2F55">
            <w:pPr>
              <w:pStyle w:val="Header"/>
              <w:jc w:val="center"/>
              <w:rPr>
                <w:rFonts w:ascii="Arial" w:hAnsi="Arial" w:cs="Arial"/>
                <w:sz w:val="22"/>
                <w:szCs w:val="22"/>
              </w:rPr>
            </w:pPr>
            <w:r w:rsidRPr="00D134FC">
              <w:rPr>
                <w:rFonts w:ascii="Arial" w:hAnsi="Arial" w:cs="Arial"/>
                <w:sz w:val="22"/>
                <w:szCs w:val="22"/>
              </w:rPr>
              <w:t>$9,956</w:t>
            </w:r>
          </w:p>
        </w:tc>
      </w:tr>
    </w:tbl>
    <w:p w:rsidR="006401C7" w:rsidRPr="00437EAF" w:rsidRDefault="006401C7" w:rsidP="006401C7">
      <w:pPr>
        <w:pStyle w:val="Header"/>
        <w:tabs>
          <w:tab w:val="clear" w:pos="4680"/>
          <w:tab w:val="clear" w:pos="9360"/>
        </w:tabs>
        <w:rPr>
          <w:rFonts w:ascii="Arial" w:hAnsi="Arial" w:cs="Arial"/>
          <w:sz w:val="22"/>
          <w:szCs w:val="22"/>
        </w:rPr>
      </w:pPr>
    </w:p>
    <w:p w:rsidR="006401C7" w:rsidRDefault="006401C7" w:rsidP="006401C7">
      <w:pPr>
        <w:pStyle w:val="Header"/>
        <w:rPr>
          <w:rFonts w:ascii="Arial" w:hAnsi="Arial" w:cs="Arial"/>
          <w:sz w:val="22"/>
          <w:szCs w:val="22"/>
        </w:rPr>
      </w:pPr>
    </w:p>
    <w:p w:rsidR="006401C7" w:rsidRDefault="006401C7" w:rsidP="006401C7">
      <w:pPr>
        <w:pStyle w:val="Header"/>
        <w:rPr>
          <w:rFonts w:ascii="Arial" w:hAnsi="Arial" w:cs="Arial"/>
          <w:sz w:val="22"/>
          <w:szCs w:val="22"/>
        </w:rPr>
      </w:pPr>
      <w:r>
        <w:rPr>
          <w:rFonts w:ascii="Arial" w:hAnsi="Arial" w:cs="Arial"/>
          <w:b/>
          <w:sz w:val="22"/>
          <w:szCs w:val="22"/>
        </w:rPr>
        <w:lastRenderedPageBreak/>
        <w:t xml:space="preserve">Outcomes - </w:t>
      </w:r>
      <w:r>
        <w:rPr>
          <w:rFonts w:ascii="Arial" w:hAnsi="Arial" w:cs="Arial"/>
          <w:sz w:val="22"/>
          <w:szCs w:val="22"/>
        </w:rPr>
        <w:t xml:space="preserve"> If the Ticket Holder continues to work and have monthly earnings at or above SGA or SGA-Blind and is no longer receiving Federal cash benefits (benefits cease due to work and earnings), the number of Outcome payments ENs are entitled to receive var</w:t>
      </w:r>
      <w:r w:rsidR="009F4482">
        <w:rPr>
          <w:rFonts w:ascii="Arial" w:hAnsi="Arial" w:cs="Arial"/>
          <w:sz w:val="22"/>
          <w:szCs w:val="22"/>
        </w:rPr>
        <w:t>ies</w:t>
      </w:r>
      <w:r>
        <w:rPr>
          <w:rFonts w:ascii="Arial" w:hAnsi="Arial" w:cs="Arial"/>
          <w:sz w:val="22"/>
          <w:szCs w:val="22"/>
        </w:rPr>
        <w:t xml:space="preserve"> depending on the type of disability benefits the Ticket</w:t>
      </w:r>
      <w:r w:rsidR="009F4482">
        <w:rPr>
          <w:rFonts w:ascii="Arial" w:hAnsi="Arial" w:cs="Arial"/>
          <w:sz w:val="22"/>
          <w:szCs w:val="22"/>
        </w:rPr>
        <w:t xml:space="preserve"> Holder</w:t>
      </w:r>
      <w:r>
        <w:rPr>
          <w:rFonts w:ascii="Arial" w:hAnsi="Arial" w:cs="Arial"/>
          <w:sz w:val="22"/>
          <w:szCs w:val="22"/>
        </w:rPr>
        <w:t xml:space="preserve"> receive</w:t>
      </w:r>
      <w:r w:rsidR="009F4482">
        <w:rPr>
          <w:rFonts w:ascii="Arial" w:hAnsi="Arial" w:cs="Arial"/>
          <w:sz w:val="22"/>
          <w:szCs w:val="22"/>
        </w:rPr>
        <w:t>s</w:t>
      </w:r>
      <w:r>
        <w:rPr>
          <w:rFonts w:ascii="Arial" w:hAnsi="Arial" w:cs="Arial"/>
          <w:sz w:val="22"/>
          <w:szCs w:val="22"/>
        </w:rPr>
        <w:t>.</w:t>
      </w:r>
    </w:p>
    <w:p w:rsidR="006401C7" w:rsidRDefault="009F4482" w:rsidP="006401C7">
      <w:pPr>
        <w:pStyle w:val="Header"/>
        <w:numPr>
          <w:ilvl w:val="0"/>
          <w:numId w:val="18"/>
        </w:numPr>
        <w:tabs>
          <w:tab w:val="clear" w:pos="4680"/>
          <w:tab w:val="clear" w:pos="9360"/>
        </w:tabs>
        <w:rPr>
          <w:rFonts w:ascii="Arial" w:hAnsi="Arial" w:cs="Arial"/>
          <w:sz w:val="22"/>
          <w:szCs w:val="22"/>
        </w:rPr>
      </w:pPr>
      <w:r>
        <w:rPr>
          <w:rFonts w:ascii="Arial" w:hAnsi="Arial" w:cs="Arial"/>
          <w:sz w:val="22"/>
          <w:szCs w:val="22"/>
        </w:rPr>
        <w:t>SSDI b</w:t>
      </w:r>
      <w:r w:rsidR="006401C7">
        <w:rPr>
          <w:rFonts w:ascii="Arial" w:hAnsi="Arial" w:cs="Arial"/>
          <w:sz w:val="22"/>
          <w:szCs w:val="22"/>
        </w:rPr>
        <w:t>eneficiaries: ENs can qualify for up to 36 Outcome payments.</w:t>
      </w:r>
    </w:p>
    <w:p w:rsidR="006401C7" w:rsidRDefault="009F4482" w:rsidP="006401C7">
      <w:pPr>
        <w:pStyle w:val="Header"/>
        <w:numPr>
          <w:ilvl w:val="0"/>
          <w:numId w:val="18"/>
        </w:numPr>
        <w:tabs>
          <w:tab w:val="clear" w:pos="4680"/>
          <w:tab w:val="clear" w:pos="9360"/>
        </w:tabs>
        <w:rPr>
          <w:rFonts w:ascii="Arial" w:hAnsi="Arial" w:cs="Arial"/>
          <w:sz w:val="22"/>
          <w:szCs w:val="22"/>
        </w:rPr>
      </w:pPr>
      <w:r>
        <w:rPr>
          <w:rFonts w:ascii="Arial" w:hAnsi="Arial" w:cs="Arial"/>
          <w:sz w:val="22"/>
          <w:szCs w:val="22"/>
        </w:rPr>
        <w:t>SSI b</w:t>
      </w:r>
      <w:r w:rsidR="006401C7">
        <w:rPr>
          <w:rFonts w:ascii="Arial" w:hAnsi="Arial" w:cs="Arial"/>
          <w:sz w:val="22"/>
          <w:szCs w:val="22"/>
        </w:rPr>
        <w:t>eneficiaries: ENs can qualify for up to 60 Outcome payments.</w:t>
      </w:r>
    </w:p>
    <w:p w:rsidR="006401C7" w:rsidRDefault="006401C7" w:rsidP="006401C7">
      <w:pPr>
        <w:pStyle w:val="Header"/>
        <w:tabs>
          <w:tab w:val="clear" w:pos="4680"/>
          <w:tab w:val="clear" w:pos="9360"/>
        </w:tabs>
        <w:rPr>
          <w:rFonts w:ascii="Arial" w:hAnsi="Arial" w:cs="Arial"/>
          <w:sz w:val="22"/>
          <w:szCs w:val="22"/>
        </w:rPr>
      </w:pPr>
    </w:p>
    <w:p w:rsidR="006401C7" w:rsidRDefault="009F4482" w:rsidP="006401C7">
      <w:pPr>
        <w:pStyle w:val="Header"/>
        <w:tabs>
          <w:tab w:val="clear" w:pos="4680"/>
          <w:tab w:val="clear" w:pos="9360"/>
        </w:tabs>
        <w:rPr>
          <w:rFonts w:ascii="Arial" w:hAnsi="Arial" w:cs="Arial"/>
          <w:sz w:val="22"/>
          <w:szCs w:val="22"/>
        </w:rPr>
      </w:pPr>
      <w:r>
        <w:rPr>
          <w:rFonts w:ascii="Arial" w:hAnsi="Arial" w:cs="Arial"/>
          <w:sz w:val="22"/>
          <w:szCs w:val="22"/>
        </w:rPr>
        <w:t xml:space="preserve">The chart below </w:t>
      </w:r>
      <w:r w:rsidR="006401C7">
        <w:rPr>
          <w:rFonts w:ascii="Arial" w:hAnsi="Arial" w:cs="Arial"/>
          <w:sz w:val="22"/>
          <w:szCs w:val="22"/>
        </w:rPr>
        <w:t>outlines Outcome payments based on beneficiary’s type of benefits (SSDI/SSI).</w:t>
      </w:r>
    </w:p>
    <w:p w:rsidR="006401C7" w:rsidRDefault="006401C7" w:rsidP="006401C7">
      <w:pPr>
        <w:pStyle w:val="Header"/>
        <w:tabs>
          <w:tab w:val="clear" w:pos="4680"/>
          <w:tab w:val="clear" w:pos="9360"/>
        </w:tabs>
        <w:rPr>
          <w:rFonts w:ascii="Arial" w:hAnsi="Arial" w:cs="Arial"/>
          <w:sz w:val="22"/>
          <w:szCs w:val="22"/>
        </w:rPr>
      </w:pPr>
    </w:p>
    <w:p w:rsidR="006401C7" w:rsidRPr="00506B8A" w:rsidRDefault="006401C7" w:rsidP="006401C7">
      <w:pPr>
        <w:pStyle w:val="Header"/>
        <w:ind w:left="720"/>
        <w:rPr>
          <w:rFonts w:ascii="Arial" w:hAnsi="Arial" w:cs="Arial"/>
          <w:sz w:val="22"/>
          <w:szCs w:val="22"/>
        </w:rPr>
      </w:pPr>
    </w:p>
    <w:p w:rsidR="006401C7" w:rsidRDefault="006401C7" w:rsidP="006401C7">
      <w:pPr>
        <w:pStyle w:val="Header"/>
        <w:jc w:val="center"/>
        <w:rPr>
          <w:rFonts w:ascii="Arial" w:hAnsi="Arial" w:cs="Arial"/>
          <w:b/>
          <w:sz w:val="22"/>
          <w:szCs w:val="22"/>
        </w:rPr>
      </w:pPr>
      <w:r>
        <w:rPr>
          <w:rFonts w:ascii="Arial" w:hAnsi="Arial" w:cs="Arial"/>
          <w:b/>
          <w:sz w:val="22"/>
          <w:szCs w:val="22"/>
        </w:rPr>
        <w:t>Outcome</w:t>
      </w:r>
      <w:r w:rsidRPr="00437EAF">
        <w:rPr>
          <w:rFonts w:ascii="Arial" w:hAnsi="Arial" w:cs="Arial"/>
          <w:b/>
          <w:sz w:val="22"/>
          <w:szCs w:val="22"/>
        </w:rPr>
        <w:t xml:space="preserve"> Payments under </w:t>
      </w:r>
      <w:r>
        <w:rPr>
          <w:rFonts w:ascii="Arial" w:hAnsi="Arial" w:cs="Arial"/>
          <w:b/>
          <w:sz w:val="22"/>
          <w:szCs w:val="22"/>
        </w:rPr>
        <w:t>Milestone</w:t>
      </w:r>
      <w:r w:rsidRPr="00437EAF">
        <w:rPr>
          <w:rFonts w:ascii="Arial" w:hAnsi="Arial" w:cs="Arial"/>
          <w:b/>
          <w:sz w:val="22"/>
          <w:szCs w:val="22"/>
        </w:rPr>
        <w:t>/</w:t>
      </w:r>
      <w:r>
        <w:rPr>
          <w:rFonts w:ascii="Arial" w:hAnsi="Arial" w:cs="Arial"/>
          <w:b/>
          <w:sz w:val="22"/>
          <w:szCs w:val="22"/>
        </w:rPr>
        <w:t>Outcome</w:t>
      </w:r>
      <w:r w:rsidRPr="00437EAF">
        <w:rPr>
          <w:rFonts w:ascii="Arial" w:hAnsi="Arial" w:cs="Arial"/>
          <w:b/>
          <w:sz w:val="22"/>
          <w:szCs w:val="22"/>
        </w:rPr>
        <w:t xml:space="preserve"> Payment System</w:t>
      </w:r>
    </w:p>
    <w:p w:rsidR="006401C7" w:rsidRDefault="006401C7" w:rsidP="007C7019">
      <w:pPr>
        <w:pStyle w:val="Header"/>
        <w:rPr>
          <w:rFonts w:ascii="Arial" w:hAnsi="Arial" w:cs="Arial"/>
          <w:b/>
          <w:sz w:val="22"/>
          <w:szCs w:val="22"/>
        </w:rPr>
      </w:pPr>
    </w:p>
    <w:p w:rsidR="006401C7" w:rsidRDefault="006401C7" w:rsidP="006401C7">
      <w:pPr>
        <w:pStyle w:val="Header"/>
        <w:rPr>
          <w:rFonts w:ascii="Arial" w:hAnsi="Arial" w:cs="Arial"/>
          <w:sz w:val="22"/>
          <w:szCs w:val="22"/>
        </w:rPr>
      </w:pPr>
      <w:r w:rsidRPr="00437EAF">
        <w:rPr>
          <w:rFonts w:ascii="Arial" w:hAnsi="Arial" w:cs="Arial"/>
          <w:sz w:val="22"/>
          <w:szCs w:val="22"/>
        </w:rPr>
        <w:t xml:space="preserve">If a </w:t>
      </w:r>
      <w:r>
        <w:rPr>
          <w:rFonts w:ascii="Arial" w:hAnsi="Arial" w:cs="Arial"/>
          <w:sz w:val="22"/>
          <w:szCs w:val="22"/>
        </w:rPr>
        <w:t>Ticket Holder moves into the Outcome</w:t>
      </w:r>
      <w:r w:rsidRPr="00437EAF">
        <w:rPr>
          <w:rFonts w:ascii="Arial" w:hAnsi="Arial" w:cs="Arial"/>
          <w:sz w:val="22"/>
          <w:szCs w:val="22"/>
        </w:rPr>
        <w:t xml:space="preserve"> payment phase before an EN receives all available </w:t>
      </w:r>
      <w:r>
        <w:rPr>
          <w:rFonts w:ascii="Arial" w:hAnsi="Arial" w:cs="Arial"/>
          <w:sz w:val="22"/>
          <w:szCs w:val="22"/>
        </w:rPr>
        <w:t>Milestone</w:t>
      </w:r>
      <w:r w:rsidRPr="00437EAF">
        <w:rPr>
          <w:rFonts w:ascii="Arial" w:hAnsi="Arial" w:cs="Arial"/>
          <w:sz w:val="22"/>
          <w:szCs w:val="22"/>
        </w:rPr>
        <w:t xml:space="preserve"> payments</w:t>
      </w:r>
      <w:r>
        <w:rPr>
          <w:rFonts w:ascii="Arial" w:hAnsi="Arial" w:cs="Arial"/>
          <w:sz w:val="22"/>
          <w:szCs w:val="22"/>
        </w:rPr>
        <w:t xml:space="preserve"> (Phase 1/Phase 2)</w:t>
      </w:r>
      <w:r w:rsidRPr="00437EAF">
        <w:rPr>
          <w:rFonts w:ascii="Arial" w:hAnsi="Arial" w:cs="Arial"/>
          <w:sz w:val="22"/>
          <w:szCs w:val="22"/>
        </w:rPr>
        <w:t xml:space="preserve">, </w:t>
      </w:r>
      <w:r>
        <w:rPr>
          <w:rFonts w:ascii="Arial" w:hAnsi="Arial" w:cs="Arial"/>
          <w:sz w:val="22"/>
          <w:szCs w:val="22"/>
        </w:rPr>
        <w:t>Social Security processes a</w:t>
      </w:r>
      <w:r w:rsidRPr="00437EAF">
        <w:rPr>
          <w:rFonts w:ascii="Arial" w:hAnsi="Arial" w:cs="Arial"/>
          <w:sz w:val="22"/>
          <w:szCs w:val="22"/>
        </w:rPr>
        <w:t xml:space="preserve"> reconciliation payment</w:t>
      </w:r>
      <w:r>
        <w:rPr>
          <w:rFonts w:ascii="Arial" w:hAnsi="Arial" w:cs="Arial"/>
          <w:sz w:val="22"/>
          <w:szCs w:val="22"/>
        </w:rPr>
        <w:t>.</w:t>
      </w:r>
      <w:r w:rsidRPr="00437EAF">
        <w:rPr>
          <w:rFonts w:ascii="Arial" w:hAnsi="Arial" w:cs="Arial"/>
          <w:sz w:val="22"/>
          <w:szCs w:val="22"/>
        </w:rPr>
        <w:t xml:space="preserve"> </w:t>
      </w:r>
      <w:r>
        <w:rPr>
          <w:rFonts w:ascii="Arial" w:hAnsi="Arial" w:cs="Arial"/>
          <w:sz w:val="22"/>
          <w:szCs w:val="22"/>
        </w:rPr>
        <w:t>Social Security processes a</w:t>
      </w:r>
      <w:r w:rsidRPr="00437EAF">
        <w:rPr>
          <w:rFonts w:ascii="Arial" w:hAnsi="Arial" w:cs="Arial"/>
          <w:sz w:val="22"/>
          <w:szCs w:val="22"/>
        </w:rPr>
        <w:t xml:space="preserve"> reconciliation payment </w:t>
      </w:r>
      <w:r>
        <w:rPr>
          <w:rFonts w:ascii="Arial" w:hAnsi="Arial" w:cs="Arial"/>
          <w:sz w:val="22"/>
          <w:szCs w:val="22"/>
        </w:rPr>
        <w:t xml:space="preserve">after </w:t>
      </w:r>
      <w:r w:rsidR="00CA533A">
        <w:rPr>
          <w:rFonts w:ascii="Arial" w:hAnsi="Arial" w:cs="Arial"/>
          <w:sz w:val="22"/>
          <w:szCs w:val="22"/>
        </w:rPr>
        <w:t>TPM</w:t>
      </w:r>
      <w:r w:rsidRPr="00437EAF">
        <w:rPr>
          <w:rFonts w:ascii="Arial" w:hAnsi="Arial" w:cs="Arial"/>
          <w:sz w:val="22"/>
          <w:szCs w:val="22"/>
        </w:rPr>
        <w:t xml:space="preserve"> </w:t>
      </w:r>
      <w:r>
        <w:rPr>
          <w:rFonts w:ascii="Arial" w:hAnsi="Arial" w:cs="Arial"/>
          <w:sz w:val="22"/>
          <w:szCs w:val="22"/>
        </w:rPr>
        <w:t xml:space="preserve">processes the </w:t>
      </w:r>
      <w:r w:rsidRPr="00437EAF">
        <w:rPr>
          <w:rFonts w:ascii="Arial" w:hAnsi="Arial" w:cs="Arial"/>
          <w:sz w:val="22"/>
          <w:szCs w:val="22"/>
        </w:rPr>
        <w:t xml:space="preserve">12th </w:t>
      </w:r>
      <w:r>
        <w:rPr>
          <w:rFonts w:ascii="Arial" w:hAnsi="Arial" w:cs="Arial"/>
          <w:sz w:val="22"/>
          <w:szCs w:val="22"/>
        </w:rPr>
        <w:t>Outcome</w:t>
      </w:r>
      <w:r w:rsidRPr="00437EAF">
        <w:rPr>
          <w:rFonts w:ascii="Arial" w:hAnsi="Arial" w:cs="Arial"/>
          <w:sz w:val="22"/>
          <w:szCs w:val="22"/>
        </w:rPr>
        <w:t xml:space="preserve"> payment. This one-time, lump-sum payment w</w:t>
      </w:r>
      <w:r>
        <w:rPr>
          <w:rFonts w:ascii="Arial" w:hAnsi="Arial" w:cs="Arial"/>
          <w:sz w:val="22"/>
          <w:szCs w:val="22"/>
        </w:rPr>
        <w:t>ill</w:t>
      </w:r>
      <w:r w:rsidRPr="00437EAF">
        <w:rPr>
          <w:rFonts w:ascii="Arial" w:hAnsi="Arial" w:cs="Arial"/>
          <w:sz w:val="22"/>
          <w:szCs w:val="22"/>
        </w:rPr>
        <w:t xml:space="preserve"> be equal to any unpaid</w:t>
      </w:r>
      <w:r>
        <w:rPr>
          <w:rFonts w:ascii="Arial" w:hAnsi="Arial" w:cs="Arial"/>
          <w:sz w:val="22"/>
          <w:szCs w:val="22"/>
        </w:rPr>
        <w:t xml:space="preserve"> available</w:t>
      </w:r>
      <w:r w:rsidRPr="00437EAF">
        <w:rPr>
          <w:rFonts w:ascii="Arial" w:hAnsi="Arial" w:cs="Arial"/>
          <w:sz w:val="22"/>
          <w:szCs w:val="22"/>
        </w:rPr>
        <w:t xml:space="preserve"> </w:t>
      </w:r>
      <w:r>
        <w:rPr>
          <w:rFonts w:ascii="Arial" w:hAnsi="Arial" w:cs="Arial"/>
          <w:sz w:val="22"/>
          <w:szCs w:val="22"/>
        </w:rPr>
        <w:t>Milestone</w:t>
      </w:r>
      <w:r w:rsidRPr="00437EAF">
        <w:rPr>
          <w:rFonts w:ascii="Arial" w:hAnsi="Arial" w:cs="Arial"/>
          <w:sz w:val="22"/>
          <w:szCs w:val="22"/>
        </w:rPr>
        <w:t xml:space="preserve"> payments that would otherwise have been available to the EN with the </w:t>
      </w:r>
      <w:r>
        <w:rPr>
          <w:rFonts w:ascii="Arial" w:hAnsi="Arial" w:cs="Arial"/>
          <w:sz w:val="22"/>
          <w:szCs w:val="22"/>
        </w:rPr>
        <w:t>Ticket</w:t>
      </w:r>
      <w:r w:rsidRPr="00437EAF">
        <w:rPr>
          <w:rFonts w:ascii="Arial" w:hAnsi="Arial" w:cs="Arial"/>
          <w:sz w:val="22"/>
          <w:szCs w:val="22"/>
        </w:rPr>
        <w:t xml:space="preserve"> assignment.</w:t>
      </w:r>
      <w:r>
        <w:rPr>
          <w:rFonts w:ascii="Arial" w:hAnsi="Arial" w:cs="Arial"/>
          <w:sz w:val="22"/>
          <w:szCs w:val="22"/>
        </w:rPr>
        <w:t xml:space="preserve"> Unavailable Phase 1 Milestone payments due to Look Back earnings and VR successful closures are not included in this lump-sum reconciliation payment.</w:t>
      </w:r>
    </w:p>
    <w:p w:rsidR="006401C7" w:rsidRDefault="006401C7" w:rsidP="006401C7">
      <w:pPr>
        <w:pStyle w:val="Header"/>
        <w:rPr>
          <w:rFonts w:ascii="Arial" w:hAnsi="Arial" w:cs="Arial"/>
          <w:sz w:val="22"/>
          <w:szCs w:val="22"/>
        </w:rPr>
      </w:pPr>
      <w:bookmarkStart w:id="0" w:name="_GoBack"/>
      <w:bookmarkEnd w:id="0"/>
    </w:p>
    <w:p w:rsidR="006401C7" w:rsidRDefault="006401C7" w:rsidP="006401C7">
      <w:pPr>
        <w:pStyle w:val="Header"/>
        <w:rPr>
          <w:rFonts w:ascii="Arial" w:hAnsi="Arial" w:cs="Arial"/>
          <w:sz w:val="22"/>
          <w:szCs w:val="22"/>
        </w:rPr>
      </w:pPr>
      <w:r>
        <w:rPr>
          <w:rFonts w:ascii="Arial" w:hAnsi="Arial" w:cs="Arial"/>
          <w:sz w:val="22"/>
          <w:szCs w:val="22"/>
        </w:rPr>
        <w:t>Please see chart below.</w:t>
      </w:r>
    </w:p>
    <w:p w:rsidR="006401C7" w:rsidRDefault="006401C7" w:rsidP="006401C7">
      <w:pPr>
        <w:pStyle w:val="Header"/>
        <w:rPr>
          <w:rFonts w:ascii="Arial" w:hAnsi="Arial" w:cs="Arial"/>
          <w:sz w:val="22"/>
          <w:szCs w:val="22"/>
        </w:rPr>
      </w:pPr>
    </w:p>
    <w:tbl>
      <w:tblPr>
        <w:tblStyle w:val="TableGrid"/>
        <w:tblW w:w="0" w:type="auto"/>
        <w:tblLook w:val="04A0" w:firstRow="1" w:lastRow="0" w:firstColumn="1" w:lastColumn="0" w:noHBand="0" w:noVBand="1"/>
      </w:tblPr>
      <w:tblGrid>
        <w:gridCol w:w="3325"/>
        <w:gridCol w:w="2908"/>
        <w:gridCol w:w="3117"/>
      </w:tblGrid>
      <w:tr w:rsidR="006401C7" w:rsidTr="002A2F55">
        <w:tc>
          <w:tcPr>
            <w:tcW w:w="3325" w:type="dxa"/>
          </w:tcPr>
          <w:p w:rsidR="006401C7" w:rsidRPr="009E5A0F" w:rsidRDefault="006401C7" w:rsidP="002A2F55">
            <w:pPr>
              <w:pStyle w:val="Header"/>
              <w:jc w:val="center"/>
              <w:rPr>
                <w:rFonts w:ascii="Arial" w:hAnsi="Arial" w:cs="Arial"/>
                <w:b/>
                <w:sz w:val="20"/>
                <w:szCs w:val="20"/>
              </w:rPr>
            </w:pPr>
            <w:r w:rsidRPr="009E5A0F">
              <w:rPr>
                <w:rFonts w:ascii="Arial" w:hAnsi="Arial" w:cs="Arial"/>
                <w:b/>
                <w:sz w:val="20"/>
                <w:szCs w:val="20"/>
              </w:rPr>
              <w:t>Payment Type</w:t>
            </w:r>
          </w:p>
        </w:tc>
        <w:tc>
          <w:tcPr>
            <w:tcW w:w="2908" w:type="dxa"/>
          </w:tcPr>
          <w:p w:rsidR="006401C7" w:rsidRPr="009E5A0F" w:rsidRDefault="006401C7" w:rsidP="002A2F55">
            <w:pPr>
              <w:pStyle w:val="Header"/>
              <w:jc w:val="center"/>
              <w:rPr>
                <w:rFonts w:ascii="Arial" w:hAnsi="Arial" w:cs="Arial"/>
                <w:b/>
                <w:sz w:val="20"/>
                <w:szCs w:val="20"/>
              </w:rPr>
            </w:pPr>
            <w:r w:rsidRPr="009E5A0F">
              <w:rPr>
                <w:rFonts w:ascii="Arial" w:hAnsi="Arial" w:cs="Arial"/>
                <w:b/>
                <w:sz w:val="20"/>
                <w:szCs w:val="20"/>
              </w:rPr>
              <w:t>EN Payment (SSDI)</w:t>
            </w:r>
          </w:p>
        </w:tc>
        <w:tc>
          <w:tcPr>
            <w:tcW w:w="3117" w:type="dxa"/>
          </w:tcPr>
          <w:p w:rsidR="006401C7" w:rsidRPr="009E5A0F" w:rsidRDefault="006401C7" w:rsidP="002A2F55">
            <w:pPr>
              <w:pStyle w:val="Header"/>
              <w:jc w:val="center"/>
              <w:rPr>
                <w:rFonts w:ascii="Arial" w:hAnsi="Arial" w:cs="Arial"/>
                <w:b/>
                <w:sz w:val="20"/>
                <w:szCs w:val="20"/>
              </w:rPr>
            </w:pPr>
            <w:r w:rsidRPr="009E5A0F">
              <w:rPr>
                <w:rFonts w:ascii="Arial" w:hAnsi="Arial" w:cs="Arial"/>
                <w:b/>
                <w:sz w:val="20"/>
                <w:szCs w:val="20"/>
              </w:rPr>
              <w:t>EN Payment  (SSI)</w:t>
            </w:r>
          </w:p>
        </w:tc>
      </w:tr>
      <w:tr w:rsidR="006401C7" w:rsidTr="002A2F55">
        <w:tc>
          <w:tcPr>
            <w:tcW w:w="3325" w:type="dxa"/>
          </w:tcPr>
          <w:p w:rsidR="006401C7" w:rsidRDefault="006401C7" w:rsidP="002A2F55">
            <w:pPr>
              <w:pStyle w:val="Header"/>
              <w:rPr>
                <w:rFonts w:ascii="Arial" w:hAnsi="Arial" w:cs="Arial"/>
                <w:sz w:val="22"/>
                <w:szCs w:val="22"/>
              </w:rPr>
            </w:pPr>
            <w:r>
              <w:rPr>
                <w:rFonts w:ascii="Arial" w:hAnsi="Arial" w:cs="Arial"/>
                <w:sz w:val="22"/>
                <w:szCs w:val="22"/>
              </w:rPr>
              <w:t>Phase 1 Milestone</w:t>
            </w:r>
          </w:p>
        </w:tc>
        <w:tc>
          <w:tcPr>
            <w:tcW w:w="2908" w:type="dxa"/>
          </w:tcPr>
          <w:p w:rsidR="006401C7" w:rsidRDefault="007C7019" w:rsidP="002A2F55">
            <w:pPr>
              <w:pStyle w:val="Header"/>
              <w:jc w:val="center"/>
              <w:rPr>
                <w:rFonts w:ascii="Arial" w:hAnsi="Arial" w:cs="Arial"/>
                <w:sz w:val="22"/>
                <w:szCs w:val="22"/>
              </w:rPr>
            </w:pPr>
            <w:r>
              <w:rPr>
                <w:rFonts w:ascii="Arial" w:hAnsi="Arial" w:cs="Arial"/>
                <w:sz w:val="22"/>
                <w:szCs w:val="22"/>
              </w:rPr>
              <w:t>$   5,600</w:t>
            </w:r>
          </w:p>
        </w:tc>
        <w:tc>
          <w:tcPr>
            <w:tcW w:w="3117" w:type="dxa"/>
          </w:tcPr>
          <w:p w:rsidR="006401C7" w:rsidRDefault="007C7019" w:rsidP="002A2F55">
            <w:pPr>
              <w:pStyle w:val="Header"/>
              <w:jc w:val="center"/>
              <w:rPr>
                <w:rFonts w:ascii="Arial" w:hAnsi="Arial" w:cs="Arial"/>
                <w:sz w:val="22"/>
                <w:szCs w:val="22"/>
              </w:rPr>
            </w:pPr>
            <w:r>
              <w:rPr>
                <w:rFonts w:ascii="Arial" w:hAnsi="Arial" w:cs="Arial"/>
                <w:sz w:val="22"/>
                <w:szCs w:val="22"/>
              </w:rPr>
              <w:t>$  5,600</w:t>
            </w:r>
          </w:p>
        </w:tc>
      </w:tr>
      <w:tr w:rsidR="006401C7" w:rsidTr="002A2F55">
        <w:tc>
          <w:tcPr>
            <w:tcW w:w="3325" w:type="dxa"/>
          </w:tcPr>
          <w:p w:rsidR="006401C7" w:rsidRDefault="006401C7" w:rsidP="002A2F55">
            <w:pPr>
              <w:pStyle w:val="Header"/>
              <w:rPr>
                <w:rFonts w:ascii="Arial" w:hAnsi="Arial" w:cs="Arial"/>
                <w:sz w:val="22"/>
                <w:szCs w:val="22"/>
              </w:rPr>
            </w:pPr>
            <w:r>
              <w:rPr>
                <w:rFonts w:ascii="Arial" w:hAnsi="Arial" w:cs="Arial"/>
                <w:sz w:val="22"/>
                <w:szCs w:val="22"/>
              </w:rPr>
              <w:t xml:space="preserve">Phase 2 Milestone </w:t>
            </w:r>
          </w:p>
        </w:tc>
        <w:tc>
          <w:tcPr>
            <w:tcW w:w="2908" w:type="dxa"/>
          </w:tcPr>
          <w:p w:rsidR="006401C7" w:rsidRDefault="007C7019" w:rsidP="002A2F55">
            <w:pPr>
              <w:pStyle w:val="Header"/>
              <w:jc w:val="center"/>
              <w:rPr>
                <w:rFonts w:ascii="Arial" w:hAnsi="Arial" w:cs="Arial"/>
                <w:sz w:val="22"/>
                <w:szCs w:val="22"/>
              </w:rPr>
            </w:pPr>
            <w:r>
              <w:rPr>
                <w:rFonts w:ascii="Arial" w:hAnsi="Arial" w:cs="Arial"/>
                <w:sz w:val="22"/>
                <w:szCs w:val="22"/>
              </w:rPr>
              <w:t>$   4,620</w:t>
            </w:r>
          </w:p>
        </w:tc>
        <w:tc>
          <w:tcPr>
            <w:tcW w:w="3117" w:type="dxa"/>
          </w:tcPr>
          <w:p w:rsidR="006401C7" w:rsidRDefault="007C7019" w:rsidP="002A2F55">
            <w:pPr>
              <w:pStyle w:val="Header"/>
              <w:jc w:val="center"/>
              <w:rPr>
                <w:rFonts w:ascii="Arial" w:hAnsi="Arial" w:cs="Arial"/>
                <w:sz w:val="22"/>
                <w:szCs w:val="22"/>
              </w:rPr>
            </w:pPr>
            <w:r>
              <w:rPr>
                <w:rFonts w:ascii="Arial" w:hAnsi="Arial" w:cs="Arial"/>
                <w:sz w:val="22"/>
                <w:szCs w:val="22"/>
              </w:rPr>
              <w:t>$  4,356</w:t>
            </w:r>
          </w:p>
        </w:tc>
      </w:tr>
      <w:tr w:rsidR="006401C7" w:rsidTr="002A2F55">
        <w:tc>
          <w:tcPr>
            <w:tcW w:w="3325" w:type="dxa"/>
          </w:tcPr>
          <w:p w:rsidR="006401C7" w:rsidRDefault="006401C7" w:rsidP="002A2F55">
            <w:pPr>
              <w:pStyle w:val="Header"/>
              <w:rPr>
                <w:rFonts w:ascii="Arial" w:hAnsi="Arial" w:cs="Arial"/>
                <w:sz w:val="22"/>
                <w:szCs w:val="22"/>
              </w:rPr>
            </w:pPr>
            <w:r>
              <w:rPr>
                <w:rFonts w:ascii="Arial" w:hAnsi="Arial" w:cs="Arial"/>
                <w:sz w:val="22"/>
                <w:szCs w:val="22"/>
              </w:rPr>
              <w:t>Outcome</w:t>
            </w:r>
          </w:p>
        </w:tc>
        <w:tc>
          <w:tcPr>
            <w:tcW w:w="2908" w:type="dxa"/>
          </w:tcPr>
          <w:p w:rsidR="006401C7" w:rsidRDefault="007C7019" w:rsidP="002A2F55">
            <w:pPr>
              <w:pStyle w:val="Header"/>
              <w:jc w:val="center"/>
              <w:rPr>
                <w:rFonts w:ascii="Arial" w:hAnsi="Arial" w:cs="Arial"/>
                <w:sz w:val="22"/>
                <w:szCs w:val="22"/>
              </w:rPr>
            </w:pPr>
            <w:r>
              <w:rPr>
                <w:rFonts w:ascii="Arial" w:hAnsi="Arial" w:cs="Arial"/>
                <w:sz w:val="22"/>
                <w:szCs w:val="22"/>
              </w:rPr>
              <w:t>$ 15,120</w:t>
            </w:r>
          </w:p>
        </w:tc>
        <w:tc>
          <w:tcPr>
            <w:tcW w:w="3117" w:type="dxa"/>
          </w:tcPr>
          <w:p w:rsidR="006401C7" w:rsidRDefault="007C7019" w:rsidP="002A2F55">
            <w:pPr>
              <w:pStyle w:val="Header"/>
              <w:jc w:val="center"/>
              <w:rPr>
                <w:rFonts w:ascii="Arial" w:hAnsi="Arial" w:cs="Arial"/>
                <w:sz w:val="22"/>
                <w:szCs w:val="22"/>
              </w:rPr>
            </w:pPr>
            <w:r>
              <w:rPr>
                <w:rFonts w:ascii="Arial" w:hAnsi="Arial" w:cs="Arial"/>
                <w:sz w:val="22"/>
                <w:szCs w:val="22"/>
              </w:rPr>
              <w:t>$ 14,520</w:t>
            </w:r>
          </w:p>
        </w:tc>
      </w:tr>
      <w:tr w:rsidR="006401C7" w:rsidTr="002A2F55">
        <w:tc>
          <w:tcPr>
            <w:tcW w:w="3325" w:type="dxa"/>
          </w:tcPr>
          <w:p w:rsidR="006401C7" w:rsidRDefault="006401C7" w:rsidP="002A2F55">
            <w:pPr>
              <w:pStyle w:val="Header"/>
              <w:rPr>
                <w:rFonts w:ascii="Arial" w:hAnsi="Arial" w:cs="Arial"/>
                <w:sz w:val="22"/>
                <w:szCs w:val="22"/>
              </w:rPr>
            </w:pPr>
            <w:r>
              <w:rPr>
                <w:rFonts w:ascii="Arial" w:hAnsi="Arial" w:cs="Arial"/>
                <w:sz w:val="22"/>
                <w:szCs w:val="22"/>
              </w:rPr>
              <w:t>Total Potential Ticket Payments</w:t>
            </w:r>
          </w:p>
        </w:tc>
        <w:tc>
          <w:tcPr>
            <w:tcW w:w="2908" w:type="dxa"/>
          </w:tcPr>
          <w:p w:rsidR="006401C7" w:rsidRDefault="007C7019" w:rsidP="002A2F55">
            <w:pPr>
              <w:pStyle w:val="Header"/>
              <w:jc w:val="center"/>
              <w:rPr>
                <w:rFonts w:ascii="Arial" w:hAnsi="Arial" w:cs="Arial"/>
                <w:sz w:val="22"/>
                <w:szCs w:val="22"/>
              </w:rPr>
            </w:pPr>
            <w:r>
              <w:rPr>
                <w:rFonts w:ascii="Arial" w:hAnsi="Arial" w:cs="Arial"/>
                <w:sz w:val="22"/>
                <w:szCs w:val="22"/>
              </w:rPr>
              <w:t>$ 25,340</w:t>
            </w:r>
          </w:p>
        </w:tc>
        <w:tc>
          <w:tcPr>
            <w:tcW w:w="3117" w:type="dxa"/>
          </w:tcPr>
          <w:p w:rsidR="006401C7" w:rsidRDefault="007C7019" w:rsidP="002A2F55">
            <w:pPr>
              <w:pStyle w:val="Header"/>
              <w:jc w:val="center"/>
              <w:rPr>
                <w:rFonts w:ascii="Arial" w:hAnsi="Arial" w:cs="Arial"/>
                <w:sz w:val="22"/>
                <w:szCs w:val="22"/>
              </w:rPr>
            </w:pPr>
            <w:r>
              <w:rPr>
                <w:rFonts w:ascii="Arial" w:hAnsi="Arial" w:cs="Arial"/>
                <w:sz w:val="22"/>
                <w:szCs w:val="22"/>
              </w:rPr>
              <w:t>$ 24,476</w:t>
            </w:r>
          </w:p>
        </w:tc>
      </w:tr>
    </w:tbl>
    <w:p w:rsidR="006401C7" w:rsidRDefault="006401C7" w:rsidP="006401C7">
      <w:pPr>
        <w:pStyle w:val="Header"/>
        <w:rPr>
          <w:rFonts w:ascii="Arial" w:hAnsi="Arial" w:cs="Arial"/>
          <w:sz w:val="22"/>
          <w:szCs w:val="22"/>
        </w:rPr>
      </w:pPr>
    </w:p>
    <w:p w:rsidR="006401C7" w:rsidRDefault="006401C7" w:rsidP="006401C7">
      <w:pPr>
        <w:pStyle w:val="Header"/>
        <w:jc w:val="center"/>
        <w:rPr>
          <w:rFonts w:ascii="Arial" w:hAnsi="Arial" w:cs="Arial"/>
          <w:b/>
          <w:sz w:val="22"/>
          <w:szCs w:val="22"/>
        </w:rPr>
      </w:pPr>
    </w:p>
    <w:p w:rsidR="006401C7" w:rsidRDefault="006401C7" w:rsidP="006401C7">
      <w:pPr>
        <w:pStyle w:val="Header"/>
        <w:jc w:val="center"/>
        <w:rPr>
          <w:rFonts w:ascii="Arial" w:hAnsi="Arial" w:cs="Arial"/>
          <w:sz w:val="22"/>
          <w:szCs w:val="22"/>
        </w:rPr>
      </w:pPr>
      <w:r>
        <w:rPr>
          <w:rFonts w:ascii="Arial" w:hAnsi="Arial" w:cs="Arial"/>
          <w:b/>
          <w:sz w:val="22"/>
          <w:szCs w:val="22"/>
        </w:rPr>
        <w:t>The Outcome Only Payment S</w:t>
      </w:r>
      <w:r w:rsidRPr="00CF79F1">
        <w:rPr>
          <w:rFonts w:ascii="Arial" w:hAnsi="Arial" w:cs="Arial"/>
          <w:b/>
          <w:sz w:val="22"/>
          <w:szCs w:val="22"/>
        </w:rPr>
        <w:t>ystem</w:t>
      </w:r>
    </w:p>
    <w:p w:rsidR="006401C7" w:rsidRDefault="006401C7" w:rsidP="006401C7">
      <w:pPr>
        <w:pStyle w:val="Header"/>
        <w:rPr>
          <w:rFonts w:ascii="Arial" w:hAnsi="Arial" w:cs="Arial"/>
          <w:sz w:val="22"/>
          <w:szCs w:val="22"/>
        </w:rPr>
      </w:pPr>
    </w:p>
    <w:p w:rsidR="006401C7" w:rsidRDefault="009F4482" w:rsidP="006401C7">
      <w:pPr>
        <w:pStyle w:val="Header"/>
        <w:rPr>
          <w:rFonts w:ascii="Arial" w:hAnsi="Arial" w:cs="Arial"/>
          <w:sz w:val="22"/>
          <w:szCs w:val="22"/>
        </w:rPr>
      </w:pPr>
      <w:r>
        <w:rPr>
          <w:rFonts w:ascii="Arial" w:hAnsi="Arial" w:cs="Arial"/>
          <w:sz w:val="22"/>
          <w:szCs w:val="22"/>
        </w:rPr>
        <w:t xml:space="preserve">Under this payment option </w:t>
      </w:r>
      <w:r w:rsidR="006401C7">
        <w:rPr>
          <w:rFonts w:ascii="Arial" w:hAnsi="Arial" w:cs="Arial"/>
          <w:sz w:val="22"/>
          <w:szCs w:val="22"/>
        </w:rPr>
        <w:t>ENs can submit a request for payment when a Ticket Holder’s earnings are at or above SGA or SGA-Blind and</w:t>
      </w:r>
      <w:r>
        <w:rPr>
          <w:rFonts w:ascii="Arial" w:hAnsi="Arial" w:cs="Arial"/>
          <w:sz w:val="22"/>
          <w:szCs w:val="22"/>
        </w:rPr>
        <w:t xml:space="preserve"> he or she </w:t>
      </w:r>
      <w:r w:rsidR="006401C7">
        <w:rPr>
          <w:rFonts w:ascii="Arial" w:hAnsi="Arial" w:cs="Arial"/>
          <w:sz w:val="22"/>
          <w:szCs w:val="22"/>
        </w:rPr>
        <w:t>is no longer receiving Federal cash benefits (benefits c</w:t>
      </w:r>
      <w:r>
        <w:rPr>
          <w:rFonts w:ascii="Arial" w:hAnsi="Arial" w:cs="Arial"/>
          <w:sz w:val="22"/>
          <w:szCs w:val="22"/>
        </w:rPr>
        <w:t xml:space="preserve">ease due to work and earnings). </w:t>
      </w:r>
      <w:r w:rsidR="006401C7">
        <w:rPr>
          <w:rFonts w:ascii="Arial" w:hAnsi="Arial" w:cs="Arial"/>
          <w:sz w:val="22"/>
          <w:szCs w:val="22"/>
        </w:rPr>
        <w:t>The number of Outcome payment</w:t>
      </w:r>
      <w:r>
        <w:rPr>
          <w:rFonts w:ascii="Arial" w:hAnsi="Arial" w:cs="Arial"/>
          <w:sz w:val="22"/>
          <w:szCs w:val="22"/>
        </w:rPr>
        <w:t>s</w:t>
      </w:r>
      <w:r w:rsidR="006401C7">
        <w:rPr>
          <w:rFonts w:ascii="Arial" w:hAnsi="Arial" w:cs="Arial"/>
          <w:sz w:val="22"/>
          <w:szCs w:val="22"/>
        </w:rPr>
        <w:t xml:space="preserve"> </w:t>
      </w:r>
      <w:r>
        <w:rPr>
          <w:rFonts w:ascii="Arial" w:hAnsi="Arial" w:cs="Arial"/>
          <w:sz w:val="22"/>
          <w:szCs w:val="22"/>
        </w:rPr>
        <w:t>ENs are entitled to receive varies</w:t>
      </w:r>
      <w:r w:rsidR="006401C7">
        <w:rPr>
          <w:rFonts w:ascii="Arial" w:hAnsi="Arial" w:cs="Arial"/>
          <w:sz w:val="22"/>
          <w:szCs w:val="22"/>
        </w:rPr>
        <w:t xml:space="preserve"> depending on the type of disability benefits the Ticket Holders receive.</w:t>
      </w:r>
    </w:p>
    <w:p w:rsidR="006401C7" w:rsidRDefault="009F4482" w:rsidP="006401C7">
      <w:pPr>
        <w:pStyle w:val="Header"/>
        <w:numPr>
          <w:ilvl w:val="0"/>
          <w:numId w:val="18"/>
        </w:numPr>
        <w:tabs>
          <w:tab w:val="clear" w:pos="4680"/>
          <w:tab w:val="clear" w:pos="9360"/>
        </w:tabs>
        <w:rPr>
          <w:rFonts w:ascii="Arial" w:hAnsi="Arial" w:cs="Arial"/>
          <w:sz w:val="22"/>
          <w:szCs w:val="22"/>
        </w:rPr>
      </w:pPr>
      <w:r>
        <w:rPr>
          <w:rFonts w:ascii="Arial" w:hAnsi="Arial" w:cs="Arial"/>
          <w:sz w:val="22"/>
          <w:szCs w:val="22"/>
        </w:rPr>
        <w:t>SSDI b</w:t>
      </w:r>
      <w:r w:rsidR="006401C7">
        <w:rPr>
          <w:rFonts w:ascii="Arial" w:hAnsi="Arial" w:cs="Arial"/>
          <w:sz w:val="22"/>
          <w:szCs w:val="22"/>
        </w:rPr>
        <w:t>eneficiaries: ENs can qualify for up to 36 Outcome payments.</w:t>
      </w:r>
    </w:p>
    <w:p w:rsidR="006401C7" w:rsidRPr="009F4482" w:rsidRDefault="009F4482" w:rsidP="006401C7">
      <w:pPr>
        <w:pStyle w:val="Header"/>
        <w:numPr>
          <w:ilvl w:val="0"/>
          <w:numId w:val="18"/>
        </w:numPr>
        <w:tabs>
          <w:tab w:val="clear" w:pos="4680"/>
          <w:tab w:val="clear" w:pos="9360"/>
        </w:tabs>
        <w:rPr>
          <w:rFonts w:ascii="Arial" w:hAnsi="Arial" w:cs="Arial"/>
          <w:sz w:val="22"/>
          <w:szCs w:val="22"/>
        </w:rPr>
      </w:pPr>
      <w:r>
        <w:rPr>
          <w:rFonts w:ascii="Arial" w:hAnsi="Arial" w:cs="Arial"/>
          <w:sz w:val="22"/>
          <w:szCs w:val="22"/>
        </w:rPr>
        <w:t>SSI b</w:t>
      </w:r>
      <w:r w:rsidR="006401C7">
        <w:rPr>
          <w:rFonts w:ascii="Arial" w:hAnsi="Arial" w:cs="Arial"/>
          <w:sz w:val="22"/>
          <w:szCs w:val="22"/>
        </w:rPr>
        <w:t>eneficiaries: ENs can qualify for up to 60 Outcome payments.</w:t>
      </w:r>
    </w:p>
    <w:p w:rsidR="006401C7" w:rsidRDefault="006401C7" w:rsidP="006401C7">
      <w:pPr>
        <w:pStyle w:val="Header"/>
        <w:tabs>
          <w:tab w:val="clear" w:pos="4680"/>
          <w:tab w:val="clear" w:pos="9360"/>
        </w:tabs>
        <w:rPr>
          <w:rFonts w:ascii="Arial" w:hAnsi="Arial" w:cs="Arial"/>
          <w:sz w:val="22"/>
          <w:szCs w:val="22"/>
        </w:rPr>
      </w:pPr>
    </w:p>
    <w:p w:rsidR="006401C7" w:rsidRDefault="006401C7" w:rsidP="006401C7">
      <w:pPr>
        <w:pStyle w:val="Header"/>
        <w:tabs>
          <w:tab w:val="clear" w:pos="4680"/>
          <w:tab w:val="clear" w:pos="9360"/>
        </w:tabs>
        <w:rPr>
          <w:rFonts w:ascii="Arial" w:hAnsi="Arial" w:cs="Arial"/>
          <w:sz w:val="22"/>
          <w:szCs w:val="22"/>
        </w:rPr>
      </w:pPr>
      <w:r>
        <w:rPr>
          <w:rFonts w:ascii="Arial" w:hAnsi="Arial" w:cs="Arial"/>
          <w:sz w:val="22"/>
          <w:szCs w:val="22"/>
        </w:rPr>
        <w:t>Under the Outcome-Only Payment System, the payment rate is higher than the Outcome payment rate under the Milestone/Outcome Payment System.</w:t>
      </w:r>
    </w:p>
    <w:p w:rsidR="009F4482" w:rsidRDefault="009F4482">
      <w:pPr>
        <w:rPr>
          <w:rFonts w:ascii="Arial" w:hAnsi="Arial" w:cs="Arial"/>
          <w:sz w:val="22"/>
          <w:szCs w:val="22"/>
        </w:rPr>
      </w:pPr>
      <w:r>
        <w:rPr>
          <w:rFonts w:ascii="Arial" w:hAnsi="Arial" w:cs="Arial"/>
          <w:sz w:val="22"/>
          <w:szCs w:val="22"/>
        </w:rPr>
        <w:br w:type="page"/>
      </w:r>
    </w:p>
    <w:p w:rsidR="00D134FC" w:rsidRDefault="00D134FC" w:rsidP="00D134FC">
      <w:pPr>
        <w:pStyle w:val="Header"/>
        <w:tabs>
          <w:tab w:val="clear" w:pos="4680"/>
          <w:tab w:val="clear" w:pos="9360"/>
        </w:tabs>
        <w:jc w:val="center"/>
        <w:rPr>
          <w:rFonts w:ascii="Arial" w:hAnsi="Arial" w:cs="Arial"/>
          <w:b/>
          <w:sz w:val="22"/>
          <w:szCs w:val="22"/>
        </w:rPr>
      </w:pPr>
      <w:r>
        <w:rPr>
          <w:rFonts w:ascii="Arial" w:hAnsi="Arial" w:cs="Arial"/>
          <w:b/>
          <w:sz w:val="22"/>
          <w:szCs w:val="22"/>
        </w:rPr>
        <w:lastRenderedPageBreak/>
        <w:t>Outcome-Only Payment System</w:t>
      </w:r>
    </w:p>
    <w:p w:rsidR="00D134FC" w:rsidRPr="00D134FC" w:rsidRDefault="00D134FC" w:rsidP="00D134FC">
      <w:pPr>
        <w:pStyle w:val="Header"/>
        <w:tabs>
          <w:tab w:val="clear" w:pos="4680"/>
          <w:tab w:val="clear" w:pos="9360"/>
        </w:tabs>
        <w:jc w:val="center"/>
        <w:rPr>
          <w:rFonts w:ascii="Arial" w:hAnsi="Arial" w:cs="Arial"/>
          <w:b/>
          <w:sz w:val="22"/>
          <w:szCs w:val="22"/>
        </w:rPr>
      </w:pPr>
    </w:p>
    <w:tbl>
      <w:tblPr>
        <w:tblStyle w:val="TableGrid"/>
        <w:tblW w:w="0" w:type="auto"/>
        <w:jc w:val="center"/>
        <w:tblLook w:val="04A0" w:firstRow="1" w:lastRow="0" w:firstColumn="1" w:lastColumn="0" w:noHBand="0" w:noVBand="1"/>
      </w:tblPr>
      <w:tblGrid>
        <w:gridCol w:w="2062"/>
        <w:gridCol w:w="2111"/>
        <w:gridCol w:w="2185"/>
      </w:tblGrid>
      <w:tr w:rsidR="00D134FC" w:rsidRPr="00D134FC" w:rsidTr="00D134FC">
        <w:trPr>
          <w:jc w:val="center"/>
        </w:trPr>
        <w:tc>
          <w:tcPr>
            <w:tcW w:w="0" w:type="auto"/>
          </w:tcPr>
          <w:p w:rsidR="00D134FC" w:rsidRPr="00D134FC" w:rsidRDefault="00D134FC" w:rsidP="00D134FC">
            <w:pPr>
              <w:pStyle w:val="Header"/>
              <w:rPr>
                <w:rFonts w:ascii="Arial" w:hAnsi="Arial" w:cs="Arial"/>
                <w:b/>
                <w:sz w:val="22"/>
                <w:szCs w:val="22"/>
              </w:rPr>
            </w:pPr>
            <w:r w:rsidRPr="00D134FC">
              <w:rPr>
                <w:rFonts w:ascii="Arial" w:hAnsi="Arial" w:cs="Arial"/>
                <w:b/>
                <w:sz w:val="22"/>
                <w:szCs w:val="22"/>
              </w:rPr>
              <w:t>Outcome Number</w:t>
            </w:r>
          </w:p>
        </w:tc>
        <w:tc>
          <w:tcPr>
            <w:tcW w:w="0" w:type="auto"/>
          </w:tcPr>
          <w:p w:rsidR="00D134FC" w:rsidRPr="00D134FC" w:rsidRDefault="00D134FC" w:rsidP="00D134FC">
            <w:pPr>
              <w:pStyle w:val="Header"/>
              <w:rPr>
                <w:rFonts w:ascii="Arial" w:hAnsi="Arial" w:cs="Arial"/>
                <w:b/>
                <w:sz w:val="22"/>
                <w:szCs w:val="22"/>
              </w:rPr>
            </w:pPr>
            <w:r w:rsidRPr="00D134FC">
              <w:rPr>
                <w:rFonts w:ascii="Arial" w:hAnsi="Arial" w:cs="Arial"/>
                <w:b/>
                <w:sz w:val="22"/>
                <w:szCs w:val="22"/>
              </w:rPr>
              <w:t>SSDI Rate (Title II)</w:t>
            </w:r>
          </w:p>
        </w:tc>
        <w:tc>
          <w:tcPr>
            <w:tcW w:w="0" w:type="auto"/>
          </w:tcPr>
          <w:p w:rsidR="00D134FC" w:rsidRPr="00D134FC" w:rsidRDefault="00D134FC" w:rsidP="00D134FC">
            <w:pPr>
              <w:pStyle w:val="Header"/>
              <w:rPr>
                <w:rFonts w:ascii="Arial" w:hAnsi="Arial" w:cs="Arial"/>
                <w:b/>
                <w:sz w:val="22"/>
                <w:szCs w:val="22"/>
              </w:rPr>
            </w:pPr>
            <w:r w:rsidRPr="00D134FC">
              <w:rPr>
                <w:rFonts w:ascii="Arial" w:hAnsi="Arial" w:cs="Arial"/>
                <w:b/>
                <w:sz w:val="22"/>
                <w:szCs w:val="22"/>
              </w:rPr>
              <w:t>SSI Rate (Title XVI)</w:t>
            </w:r>
          </w:p>
        </w:tc>
      </w:tr>
      <w:tr w:rsidR="00D134FC" w:rsidRPr="00D134FC" w:rsidTr="00D134FC">
        <w:trPr>
          <w:jc w:val="center"/>
        </w:trPr>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1-36</w:t>
            </w:r>
          </w:p>
        </w:tc>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$782/month</w:t>
            </w:r>
          </w:p>
        </w:tc>
        <w:tc>
          <w:tcPr>
            <w:tcW w:w="0" w:type="auto"/>
          </w:tcPr>
          <w:p w:rsidR="00D134FC" w:rsidRPr="00D134FC" w:rsidRDefault="00D134FC" w:rsidP="00D134FC">
            <w:pPr>
              <w:pStyle w:val="Header"/>
              <w:rPr>
                <w:rFonts w:ascii="Arial" w:hAnsi="Arial" w:cs="Arial"/>
                <w:sz w:val="22"/>
                <w:szCs w:val="22"/>
              </w:rPr>
            </w:pPr>
          </w:p>
        </w:tc>
      </w:tr>
      <w:tr w:rsidR="00D134FC" w:rsidRPr="00D134FC" w:rsidTr="00D134FC">
        <w:trPr>
          <w:jc w:val="center"/>
        </w:trPr>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1-60</w:t>
            </w:r>
          </w:p>
        </w:tc>
        <w:tc>
          <w:tcPr>
            <w:tcW w:w="0" w:type="auto"/>
          </w:tcPr>
          <w:p w:rsidR="00D134FC" w:rsidRPr="00D134FC" w:rsidRDefault="00D134FC" w:rsidP="00D134FC">
            <w:pPr>
              <w:pStyle w:val="Header"/>
              <w:rPr>
                <w:rFonts w:ascii="Arial" w:hAnsi="Arial" w:cs="Arial"/>
                <w:sz w:val="22"/>
                <w:szCs w:val="22"/>
              </w:rPr>
            </w:pPr>
          </w:p>
        </w:tc>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$450/month</w:t>
            </w:r>
          </w:p>
        </w:tc>
      </w:tr>
      <w:tr w:rsidR="00D134FC" w:rsidRPr="00D134FC" w:rsidTr="00D134FC">
        <w:trPr>
          <w:jc w:val="center"/>
        </w:trPr>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Total</w:t>
            </w:r>
          </w:p>
        </w:tc>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$28,152</w:t>
            </w:r>
          </w:p>
        </w:tc>
        <w:tc>
          <w:tcPr>
            <w:tcW w:w="0" w:type="auto"/>
          </w:tcPr>
          <w:p w:rsidR="00D134FC" w:rsidRPr="00D134FC" w:rsidRDefault="00D134FC" w:rsidP="00D134FC">
            <w:pPr>
              <w:pStyle w:val="Header"/>
              <w:rPr>
                <w:rFonts w:ascii="Arial" w:hAnsi="Arial" w:cs="Arial"/>
                <w:sz w:val="22"/>
                <w:szCs w:val="22"/>
              </w:rPr>
            </w:pPr>
            <w:r w:rsidRPr="00D134FC">
              <w:rPr>
                <w:rFonts w:ascii="Arial" w:hAnsi="Arial" w:cs="Arial"/>
                <w:sz w:val="22"/>
                <w:szCs w:val="22"/>
              </w:rPr>
              <w:t>$27,000</w:t>
            </w:r>
          </w:p>
        </w:tc>
      </w:tr>
    </w:tbl>
    <w:p w:rsidR="006401C7" w:rsidRPr="00882DDD" w:rsidRDefault="006401C7" w:rsidP="00D134FC">
      <w:pPr>
        <w:pStyle w:val="Header"/>
        <w:tabs>
          <w:tab w:val="clear" w:pos="4680"/>
          <w:tab w:val="clear" w:pos="9360"/>
        </w:tabs>
        <w:rPr>
          <w:rFonts w:ascii="Arial" w:hAnsi="Arial" w:cs="Arial"/>
        </w:rPr>
      </w:pPr>
    </w:p>
    <w:p w:rsidR="00882DDD" w:rsidRPr="006401C7" w:rsidRDefault="00882DDD" w:rsidP="006401C7"/>
    <w:sectPr w:rsidR="00882DDD" w:rsidRPr="006401C7" w:rsidSect="00086472">
      <w:headerReference w:type="default" r:id="rId8"/>
      <w:footerReference w:type="default" r:id="rId9"/>
      <w:pgSz w:w="12240" w:h="15840"/>
      <w:pgMar w:top="1440" w:right="1440" w:bottom="1260" w:left="1440" w:header="720" w:footer="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BE" w:rsidRDefault="00C87BBE" w:rsidP="000F55D3">
      <w:r>
        <w:separator/>
      </w:r>
    </w:p>
  </w:endnote>
  <w:endnote w:type="continuationSeparator" w:id="0">
    <w:p w:rsidR="00C87BBE" w:rsidRDefault="00C87BBE" w:rsidP="000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1B" w:rsidRDefault="009F4482">
    <w:pPr>
      <w:pStyle w:val="Footer"/>
      <w:jc w:val="center"/>
    </w:pPr>
    <w:r>
      <w:fldChar w:fldCharType="begin"/>
    </w:r>
    <w:r>
      <w:instrText xml:space="preserve"> PAGE   \* MERGEFORMAT </w:instrText>
    </w:r>
    <w:r>
      <w:fldChar w:fldCharType="separate"/>
    </w:r>
    <w:r w:rsidR="003216CA">
      <w:rPr>
        <w:noProof/>
      </w:rPr>
      <w:t>2</w:t>
    </w:r>
    <w:r>
      <w:rPr>
        <w:noProof/>
      </w:rPr>
      <w:fldChar w:fldCharType="end"/>
    </w:r>
  </w:p>
  <w:p w:rsidR="00CC6C1B" w:rsidRDefault="00CC6C1B" w:rsidP="00E22E3E">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BE" w:rsidRDefault="00C87BBE" w:rsidP="000F55D3">
      <w:r>
        <w:separator/>
      </w:r>
    </w:p>
  </w:footnote>
  <w:footnote w:type="continuationSeparator" w:id="0">
    <w:p w:rsidR="00C87BBE" w:rsidRDefault="00C87BBE" w:rsidP="000F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1B" w:rsidRPr="0085473D" w:rsidRDefault="006401C7" w:rsidP="00821E6B">
    <w:pPr>
      <w:keepNext/>
      <w:ind w:left="2880"/>
      <w:jc w:val="right"/>
      <w:outlineLvl w:val="3"/>
      <w:rPr>
        <w:rFonts w:ascii="Arial" w:eastAsia="Times New Roman" w:hAnsi="Arial" w:cs="Arial"/>
        <w:bCs/>
        <w:noProof/>
        <w:color w:val="000000"/>
        <w:sz w:val="40"/>
        <w:szCs w:val="40"/>
      </w:rPr>
    </w:pPr>
    <w:r>
      <w:rPr>
        <w:rFonts w:ascii="Arial" w:eastAsia="Times New Roman" w:hAnsi="Arial" w:cs="Arial"/>
        <w:bCs/>
        <w:noProof/>
        <w:color w:val="000000"/>
        <w:sz w:val="44"/>
        <w:szCs w:val="44"/>
      </w:rPr>
      <w:drawing>
        <wp:anchor distT="0" distB="0" distL="114300" distR="114300" simplePos="0" relativeHeight="251657728" behindDoc="1" locked="0" layoutInCell="1" allowOverlap="1">
          <wp:simplePos x="0" y="0"/>
          <wp:positionH relativeFrom="column">
            <wp:posOffset>-914400</wp:posOffset>
          </wp:positionH>
          <wp:positionV relativeFrom="paragraph">
            <wp:posOffset>-228600</wp:posOffset>
          </wp:positionV>
          <wp:extent cx="7772400" cy="923925"/>
          <wp:effectExtent l="0" t="0" r="0" b="9525"/>
          <wp:wrapNone/>
          <wp:docPr id="3" name="Picture 3" descr="BKG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ND"/>
                  <pic:cNvPicPr>
                    <a:picLocks noChangeAspect="1" noChangeArrowheads="1"/>
                  </pic:cNvPicPr>
                </pic:nvPicPr>
                <pic:blipFill>
                  <a:blip r:embed="rId1">
                    <a:extLst>
                      <a:ext uri="{28A0092B-C50C-407E-A947-70E740481C1C}">
                        <a14:useLocalDpi xmlns:a14="http://schemas.microsoft.com/office/drawing/2010/main" val="0"/>
                      </a:ext>
                    </a:extLst>
                  </a:blip>
                  <a:srcRect t="3323" b="88715"/>
                  <a:stretch>
                    <a:fillRect/>
                  </a:stretch>
                </pic:blipFill>
                <pic:spPr bwMode="auto">
                  <a:xfrm>
                    <a:off x="0" y="0"/>
                    <a:ext cx="7772400" cy="923925"/>
                  </a:xfrm>
                  <a:prstGeom prst="rect">
                    <a:avLst/>
                  </a:prstGeom>
                  <a:noFill/>
                </pic:spPr>
              </pic:pic>
            </a:graphicData>
          </a:graphic>
          <wp14:sizeRelH relativeFrom="page">
            <wp14:pctWidth>0</wp14:pctWidth>
          </wp14:sizeRelH>
          <wp14:sizeRelV relativeFrom="page">
            <wp14:pctHeight>0</wp14:pctHeight>
          </wp14:sizeRelV>
        </wp:anchor>
      </w:drawing>
    </w:r>
    <w:r w:rsidR="00CC6C1B" w:rsidRPr="0085473D">
      <w:t xml:space="preserve"> </w:t>
    </w:r>
    <w:r w:rsidR="00CC6C1B" w:rsidRPr="0085473D">
      <w:rPr>
        <w:rFonts w:ascii="Arial" w:eastAsia="Times New Roman" w:hAnsi="Arial" w:cs="Arial"/>
        <w:bCs/>
        <w:noProof/>
        <w:color w:val="000000"/>
        <w:sz w:val="40"/>
        <w:szCs w:val="40"/>
      </w:rPr>
      <w:t xml:space="preserve">Guide to Payments Under the </w:t>
    </w:r>
  </w:p>
  <w:p w:rsidR="00CC6C1B" w:rsidRPr="00D62D71" w:rsidRDefault="006401C7" w:rsidP="00821E6B">
    <w:pPr>
      <w:keepNext/>
      <w:ind w:left="2880"/>
      <w:jc w:val="right"/>
      <w:outlineLvl w:val="3"/>
      <w:rPr>
        <w:rFonts w:ascii="Arial" w:eastAsia="Times New Roman" w:hAnsi="Arial" w:cs="Arial"/>
        <w:bCs/>
        <w:color w:val="000000"/>
        <w:sz w:val="44"/>
        <w:szCs w:val="44"/>
      </w:rPr>
    </w:pPr>
    <w:r>
      <w:rPr>
        <w:rFonts w:ascii="Arial" w:eastAsia="Times New Roman" w:hAnsi="Arial" w:cs="Arial"/>
        <w:bCs/>
        <w:noProof/>
        <w:color w:val="000000"/>
        <w:sz w:val="40"/>
        <w:szCs w:val="40"/>
      </w:rPr>
      <w:t>Ticket</w:t>
    </w:r>
    <w:r w:rsidR="00CC6C1B" w:rsidRPr="0085473D">
      <w:rPr>
        <w:rFonts w:ascii="Arial" w:eastAsia="Times New Roman" w:hAnsi="Arial" w:cs="Arial"/>
        <w:bCs/>
        <w:noProof/>
        <w:color w:val="000000"/>
        <w:sz w:val="40"/>
        <w:szCs w:val="40"/>
      </w:rPr>
      <w:t xml:space="preserve"> to Work Program</w:t>
    </w:r>
  </w:p>
  <w:p w:rsidR="00CC6C1B" w:rsidRDefault="00CC6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3DCDA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D5AE4"/>
    <w:multiLevelType w:val="hybridMultilevel"/>
    <w:tmpl w:val="FC16A1AA"/>
    <w:lvl w:ilvl="0" w:tplc="257C7C38">
      <w:start w:val="12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C89"/>
    <w:multiLevelType w:val="hybridMultilevel"/>
    <w:tmpl w:val="FC7497D6"/>
    <w:lvl w:ilvl="0" w:tplc="B76AF57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BEE"/>
    <w:multiLevelType w:val="hybridMultilevel"/>
    <w:tmpl w:val="799A7474"/>
    <w:lvl w:ilvl="0" w:tplc="04090003">
      <w:start w:val="1"/>
      <w:numFmt w:val="bullet"/>
      <w:lvlText w:val="o"/>
      <w:lvlJc w:val="left"/>
      <w:pPr>
        <w:ind w:left="2208" w:hanging="360"/>
      </w:pPr>
      <w:rPr>
        <w:rFonts w:ascii="Courier New" w:hAnsi="Courier New" w:cs="Courier New"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4" w15:restartNumberingAfterBreak="0">
    <w:nsid w:val="0CE02684"/>
    <w:multiLevelType w:val="hybridMultilevel"/>
    <w:tmpl w:val="4B0EBD9A"/>
    <w:lvl w:ilvl="0" w:tplc="70EC9E4C">
      <w:start w:val="12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2AB5"/>
    <w:multiLevelType w:val="hybridMultilevel"/>
    <w:tmpl w:val="FCBC6D2C"/>
    <w:lvl w:ilvl="0" w:tplc="70EC9E4C">
      <w:start w:val="123"/>
      <w:numFmt w:val="bullet"/>
      <w:lvlText w:val=""/>
      <w:lvlJc w:val="left"/>
      <w:pPr>
        <w:ind w:left="1440" w:hanging="360"/>
      </w:pPr>
      <w:rPr>
        <w:rFonts w:ascii="Symbol" w:eastAsia="Calibr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E2D7E"/>
    <w:multiLevelType w:val="hybridMultilevel"/>
    <w:tmpl w:val="4DA2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936CD"/>
    <w:multiLevelType w:val="hybridMultilevel"/>
    <w:tmpl w:val="FBB058EE"/>
    <w:lvl w:ilvl="0" w:tplc="31BC7092">
      <w:start w:val="12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93C18"/>
    <w:multiLevelType w:val="hybridMultilevel"/>
    <w:tmpl w:val="BDF29762"/>
    <w:lvl w:ilvl="0" w:tplc="323A5036">
      <w:start w:val="123"/>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143D6"/>
    <w:multiLevelType w:val="hybridMultilevel"/>
    <w:tmpl w:val="ABD237E4"/>
    <w:lvl w:ilvl="0" w:tplc="C980C2E6">
      <w:start w:val="12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675B6"/>
    <w:multiLevelType w:val="hybridMultilevel"/>
    <w:tmpl w:val="3B8492C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4DC01269"/>
    <w:multiLevelType w:val="hybridMultilevel"/>
    <w:tmpl w:val="1316977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4F925D0D"/>
    <w:multiLevelType w:val="hybridMultilevel"/>
    <w:tmpl w:val="E5D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165FA"/>
    <w:multiLevelType w:val="hybridMultilevel"/>
    <w:tmpl w:val="FAA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E6CD3"/>
    <w:multiLevelType w:val="hybridMultilevel"/>
    <w:tmpl w:val="5D2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64809"/>
    <w:multiLevelType w:val="hybridMultilevel"/>
    <w:tmpl w:val="924AB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4B7D28"/>
    <w:multiLevelType w:val="hybridMultilevel"/>
    <w:tmpl w:val="8C30B6AA"/>
    <w:lvl w:ilvl="0" w:tplc="70EC9E4C">
      <w:start w:val="12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71931"/>
    <w:multiLevelType w:val="hybridMultilevel"/>
    <w:tmpl w:val="D0BC5C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7"/>
  </w:num>
  <w:num w:numId="4">
    <w:abstractNumId w:val="14"/>
  </w:num>
  <w:num w:numId="5">
    <w:abstractNumId w:val="12"/>
  </w:num>
  <w:num w:numId="6">
    <w:abstractNumId w:val="2"/>
  </w:num>
  <w:num w:numId="7">
    <w:abstractNumId w:val="9"/>
  </w:num>
  <w:num w:numId="8">
    <w:abstractNumId w:val="7"/>
  </w:num>
  <w:num w:numId="9">
    <w:abstractNumId w:val="1"/>
  </w:num>
  <w:num w:numId="10">
    <w:abstractNumId w:val="8"/>
  </w:num>
  <w:num w:numId="11">
    <w:abstractNumId w:val="4"/>
  </w:num>
  <w:num w:numId="12">
    <w:abstractNumId w:val="16"/>
  </w:num>
  <w:num w:numId="13">
    <w:abstractNumId w:val="5"/>
  </w:num>
  <w:num w:numId="14">
    <w:abstractNumId w:val="11"/>
  </w:num>
  <w:num w:numId="15">
    <w:abstractNumId w:val="10"/>
  </w:num>
  <w:num w:numId="16">
    <w:abstractNumId w:val="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D3"/>
    <w:rsid w:val="000064BF"/>
    <w:rsid w:val="0006452D"/>
    <w:rsid w:val="00086472"/>
    <w:rsid w:val="00097528"/>
    <w:rsid w:val="000A15E5"/>
    <w:rsid w:val="000C040B"/>
    <w:rsid w:val="000F55D3"/>
    <w:rsid w:val="00125590"/>
    <w:rsid w:val="001447F5"/>
    <w:rsid w:val="00145B55"/>
    <w:rsid w:val="00151576"/>
    <w:rsid w:val="0017641D"/>
    <w:rsid w:val="001A2F71"/>
    <w:rsid w:val="001B10F8"/>
    <w:rsid w:val="001B5A4C"/>
    <w:rsid w:val="001B683E"/>
    <w:rsid w:val="001C52D0"/>
    <w:rsid w:val="001D7855"/>
    <w:rsid w:val="001E32E6"/>
    <w:rsid w:val="001F03C6"/>
    <w:rsid w:val="001F6A8A"/>
    <w:rsid w:val="00207FF4"/>
    <w:rsid w:val="0022026D"/>
    <w:rsid w:val="0024699A"/>
    <w:rsid w:val="0025280D"/>
    <w:rsid w:val="00256927"/>
    <w:rsid w:val="00262403"/>
    <w:rsid w:val="002A02B6"/>
    <w:rsid w:val="002C3CE9"/>
    <w:rsid w:val="002D19B9"/>
    <w:rsid w:val="002F4073"/>
    <w:rsid w:val="002F4129"/>
    <w:rsid w:val="00303895"/>
    <w:rsid w:val="003139B8"/>
    <w:rsid w:val="003216CA"/>
    <w:rsid w:val="0036173F"/>
    <w:rsid w:val="00363A57"/>
    <w:rsid w:val="003B4456"/>
    <w:rsid w:val="003D0A05"/>
    <w:rsid w:val="00403C11"/>
    <w:rsid w:val="004144A0"/>
    <w:rsid w:val="00427409"/>
    <w:rsid w:val="00434EEF"/>
    <w:rsid w:val="00437EAF"/>
    <w:rsid w:val="00445A8E"/>
    <w:rsid w:val="00462A96"/>
    <w:rsid w:val="00493E3E"/>
    <w:rsid w:val="004C7AA8"/>
    <w:rsid w:val="004D0E6C"/>
    <w:rsid w:val="004D2837"/>
    <w:rsid w:val="004D479E"/>
    <w:rsid w:val="005F7254"/>
    <w:rsid w:val="00635D2C"/>
    <w:rsid w:val="006401C7"/>
    <w:rsid w:val="00640BED"/>
    <w:rsid w:val="006702D9"/>
    <w:rsid w:val="00671DF2"/>
    <w:rsid w:val="00673BB9"/>
    <w:rsid w:val="00686E21"/>
    <w:rsid w:val="00691DC6"/>
    <w:rsid w:val="006A641B"/>
    <w:rsid w:val="006A75A8"/>
    <w:rsid w:val="006B02C8"/>
    <w:rsid w:val="0072614A"/>
    <w:rsid w:val="00744BED"/>
    <w:rsid w:val="00750599"/>
    <w:rsid w:val="007855ED"/>
    <w:rsid w:val="007B2BDE"/>
    <w:rsid w:val="007C7019"/>
    <w:rsid w:val="007D055F"/>
    <w:rsid w:val="00817E0D"/>
    <w:rsid w:val="00821E6B"/>
    <w:rsid w:val="00826D93"/>
    <w:rsid w:val="0085473D"/>
    <w:rsid w:val="008722FA"/>
    <w:rsid w:val="00882DDD"/>
    <w:rsid w:val="008E126E"/>
    <w:rsid w:val="008E1717"/>
    <w:rsid w:val="00907F95"/>
    <w:rsid w:val="00933E29"/>
    <w:rsid w:val="0095113D"/>
    <w:rsid w:val="00965856"/>
    <w:rsid w:val="009916C9"/>
    <w:rsid w:val="009A7162"/>
    <w:rsid w:val="009F4482"/>
    <w:rsid w:val="00A226D2"/>
    <w:rsid w:val="00A34D00"/>
    <w:rsid w:val="00A41CBB"/>
    <w:rsid w:val="00A50A6E"/>
    <w:rsid w:val="00A5350D"/>
    <w:rsid w:val="00A65F8C"/>
    <w:rsid w:val="00A934B3"/>
    <w:rsid w:val="00AD01F6"/>
    <w:rsid w:val="00AD15EA"/>
    <w:rsid w:val="00B3446C"/>
    <w:rsid w:val="00B65CD6"/>
    <w:rsid w:val="00BC61CB"/>
    <w:rsid w:val="00BD5093"/>
    <w:rsid w:val="00BD6BA5"/>
    <w:rsid w:val="00BE3787"/>
    <w:rsid w:val="00BF2964"/>
    <w:rsid w:val="00C65162"/>
    <w:rsid w:val="00C87BBE"/>
    <w:rsid w:val="00C94D8D"/>
    <w:rsid w:val="00CA533A"/>
    <w:rsid w:val="00CB5CDE"/>
    <w:rsid w:val="00CC6C1B"/>
    <w:rsid w:val="00D12CA7"/>
    <w:rsid w:val="00D134FC"/>
    <w:rsid w:val="00D15632"/>
    <w:rsid w:val="00D24C88"/>
    <w:rsid w:val="00D437B6"/>
    <w:rsid w:val="00D52C3F"/>
    <w:rsid w:val="00D62D71"/>
    <w:rsid w:val="00D96CC8"/>
    <w:rsid w:val="00DB5CCD"/>
    <w:rsid w:val="00DF5CF3"/>
    <w:rsid w:val="00E0668A"/>
    <w:rsid w:val="00E22E3E"/>
    <w:rsid w:val="00E40ED0"/>
    <w:rsid w:val="00E545AF"/>
    <w:rsid w:val="00E57C66"/>
    <w:rsid w:val="00E57FB0"/>
    <w:rsid w:val="00E67F96"/>
    <w:rsid w:val="00E73D5F"/>
    <w:rsid w:val="00E77E30"/>
    <w:rsid w:val="00EB4060"/>
    <w:rsid w:val="00EE6189"/>
    <w:rsid w:val="00EF1D5C"/>
    <w:rsid w:val="00EF460F"/>
    <w:rsid w:val="00F20068"/>
    <w:rsid w:val="00F32B64"/>
    <w:rsid w:val="00F73151"/>
    <w:rsid w:val="00FC7A8B"/>
    <w:rsid w:val="00FE3EE5"/>
    <w:rsid w:val="00FF4FF1"/>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742B6C6-34C9-4CD4-9A14-D0D4997C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CDE"/>
    <w:rPr>
      <w:sz w:val="24"/>
      <w:szCs w:val="24"/>
    </w:rPr>
  </w:style>
  <w:style w:type="paragraph" w:styleId="Heading1">
    <w:name w:val="heading 1"/>
    <w:basedOn w:val="Normal"/>
    <w:next w:val="Normal"/>
    <w:link w:val="Heading1Char"/>
    <w:uiPriority w:val="9"/>
    <w:qFormat/>
    <w:rsid w:val="00CB5CD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B5CD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CB5CD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B5CDE"/>
    <w:pPr>
      <w:keepNext/>
      <w:spacing w:before="240" w:after="60"/>
      <w:outlineLvl w:val="3"/>
    </w:pPr>
    <w:rPr>
      <w:b/>
      <w:bCs/>
      <w:sz w:val="28"/>
      <w:szCs w:val="28"/>
    </w:rPr>
  </w:style>
  <w:style w:type="paragraph" w:styleId="Heading5">
    <w:name w:val="heading 5"/>
    <w:basedOn w:val="Normal"/>
    <w:next w:val="Normal"/>
    <w:link w:val="Heading5Char"/>
    <w:uiPriority w:val="9"/>
    <w:qFormat/>
    <w:rsid w:val="00CB5CDE"/>
    <w:pPr>
      <w:spacing w:before="240" w:after="60"/>
      <w:outlineLvl w:val="4"/>
    </w:pPr>
    <w:rPr>
      <w:b/>
      <w:bCs/>
      <w:i/>
      <w:iCs/>
      <w:sz w:val="26"/>
      <w:szCs w:val="26"/>
    </w:rPr>
  </w:style>
  <w:style w:type="paragraph" w:styleId="Heading6">
    <w:name w:val="heading 6"/>
    <w:basedOn w:val="Normal"/>
    <w:next w:val="Normal"/>
    <w:link w:val="Heading6Char"/>
    <w:uiPriority w:val="9"/>
    <w:qFormat/>
    <w:rsid w:val="00CB5CDE"/>
    <w:pPr>
      <w:spacing w:before="240" w:after="60"/>
      <w:outlineLvl w:val="5"/>
    </w:pPr>
    <w:rPr>
      <w:b/>
      <w:bCs/>
      <w:sz w:val="20"/>
      <w:szCs w:val="20"/>
    </w:rPr>
  </w:style>
  <w:style w:type="paragraph" w:styleId="Heading7">
    <w:name w:val="heading 7"/>
    <w:basedOn w:val="Normal"/>
    <w:next w:val="Normal"/>
    <w:link w:val="Heading7Char"/>
    <w:uiPriority w:val="9"/>
    <w:qFormat/>
    <w:rsid w:val="00CB5CDE"/>
    <w:pPr>
      <w:spacing w:before="240" w:after="60"/>
      <w:outlineLvl w:val="6"/>
    </w:pPr>
  </w:style>
  <w:style w:type="paragraph" w:styleId="Heading8">
    <w:name w:val="heading 8"/>
    <w:basedOn w:val="Normal"/>
    <w:next w:val="Normal"/>
    <w:link w:val="Heading8Char"/>
    <w:uiPriority w:val="9"/>
    <w:qFormat/>
    <w:rsid w:val="00CB5CDE"/>
    <w:pPr>
      <w:spacing w:before="240" w:after="60"/>
      <w:outlineLvl w:val="7"/>
    </w:pPr>
    <w:rPr>
      <w:i/>
      <w:iCs/>
    </w:rPr>
  </w:style>
  <w:style w:type="paragraph" w:styleId="Heading9">
    <w:name w:val="heading 9"/>
    <w:basedOn w:val="Normal"/>
    <w:next w:val="Normal"/>
    <w:link w:val="Heading9Char"/>
    <w:uiPriority w:val="9"/>
    <w:qFormat/>
    <w:rsid w:val="00CB5CDE"/>
    <w:pPr>
      <w:spacing w:before="240" w:after="60"/>
      <w:outlineLvl w:val="8"/>
    </w:pPr>
    <w:rPr>
      <w:rFonts w:ascii="Cambria" w:eastAsia="Times New Roman"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5CDE"/>
    <w:rPr>
      <w:rFonts w:ascii="Cambria" w:eastAsia="Times New Roman" w:hAnsi="Cambria"/>
      <w:b/>
      <w:bCs/>
      <w:kern w:val="32"/>
      <w:sz w:val="32"/>
      <w:szCs w:val="32"/>
    </w:rPr>
  </w:style>
  <w:style w:type="character" w:customStyle="1" w:styleId="Heading2Char">
    <w:name w:val="Heading 2 Char"/>
    <w:link w:val="Heading2"/>
    <w:uiPriority w:val="9"/>
    <w:semiHidden/>
    <w:rsid w:val="00CB5CDE"/>
    <w:rPr>
      <w:rFonts w:ascii="Cambria" w:eastAsia="Times New Roman" w:hAnsi="Cambria"/>
      <w:b/>
      <w:bCs/>
      <w:i/>
      <w:iCs/>
      <w:sz w:val="28"/>
      <w:szCs w:val="28"/>
    </w:rPr>
  </w:style>
  <w:style w:type="character" w:customStyle="1" w:styleId="Heading3Char">
    <w:name w:val="Heading 3 Char"/>
    <w:link w:val="Heading3"/>
    <w:uiPriority w:val="9"/>
    <w:semiHidden/>
    <w:rsid w:val="00CB5CDE"/>
    <w:rPr>
      <w:rFonts w:ascii="Cambria" w:eastAsia="Times New Roman" w:hAnsi="Cambria"/>
      <w:b/>
      <w:bCs/>
      <w:sz w:val="26"/>
      <w:szCs w:val="26"/>
    </w:rPr>
  </w:style>
  <w:style w:type="character" w:customStyle="1" w:styleId="Heading4Char">
    <w:name w:val="Heading 4 Char"/>
    <w:link w:val="Heading4"/>
    <w:uiPriority w:val="9"/>
    <w:semiHidden/>
    <w:rsid w:val="00CB5CDE"/>
    <w:rPr>
      <w:b/>
      <w:bCs/>
      <w:sz w:val="28"/>
      <w:szCs w:val="28"/>
    </w:rPr>
  </w:style>
  <w:style w:type="character" w:customStyle="1" w:styleId="Heading5Char">
    <w:name w:val="Heading 5 Char"/>
    <w:link w:val="Heading5"/>
    <w:uiPriority w:val="9"/>
    <w:semiHidden/>
    <w:rsid w:val="00CB5CDE"/>
    <w:rPr>
      <w:b/>
      <w:bCs/>
      <w:i/>
      <w:iCs/>
      <w:sz w:val="26"/>
      <w:szCs w:val="26"/>
    </w:rPr>
  </w:style>
  <w:style w:type="character" w:customStyle="1" w:styleId="Heading6Char">
    <w:name w:val="Heading 6 Char"/>
    <w:link w:val="Heading6"/>
    <w:uiPriority w:val="9"/>
    <w:semiHidden/>
    <w:rsid w:val="00CB5CDE"/>
    <w:rPr>
      <w:b/>
      <w:bCs/>
    </w:rPr>
  </w:style>
  <w:style w:type="character" w:customStyle="1" w:styleId="Heading7Char">
    <w:name w:val="Heading 7 Char"/>
    <w:link w:val="Heading7"/>
    <w:uiPriority w:val="9"/>
    <w:semiHidden/>
    <w:rsid w:val="00CB5CDE"/>
    <w:rPr>
      <w:sz w:val="24"/>
      <w:szCs w:val="24"/>
    </w:rPr>
  </w:style>
  <w:style w:type="character" w:customStyle="1" w:styleId="Heading8Char">
    <w:name w:val="Heading 8 Char"/>
    <w:link w:val="Heading8"/>
    <w:uiPriority w:val="9"/>
    <w:semiHidden/>
    <w:rsid w:val="00CB5CDE"/>
    <w:rPr>
      <w:i/>
      <w:iCs/>
      <w:sz w:val="24"/>
      <w:szCs w:val="24"/>
    </w:rPr>
  </w:style>
  <w:style w:type="character" w:customStyle="1" w:styleId="Heading9Char">
    <w:name w:val="Heading 9 Char"/>
    <w:link w:val="Heading9"/>
    <w:uiPriority w:val="9"/>
    <w:semiHidden/>
    <w:rsid w:val="00CB5CDE"/>
    <w:rPr>
      <w:rFonts w:ascii="Cambria" w:eastAsia="Times New Roman" w:hAnsi="Cambria"/>
    </w:rPr>
  </w:style>
  <w:style w:type="paragraph" w:styleId="Title">
    <w:name w:val="Title"/>
    <w:basedOn w:val="Normal"/>
    <w:next w:val="Normal"/>
    <w:link w:val="TitleChar"/>
    <w:uiPriority w:val="10"/>
    <w:qFormat/>
    <w:rsid w:val="00CB5CD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B5CD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B5CDE"/>
    <w:pPr>
      <w:spacing w:after="60"/>
      <w:jc w:val="center"/>
      <w:outlineLvl w:val="1"/>
    </w:pPr>
    <w:rPr>
      <w:rFonts w:ascii="Cambria" w:eastAsia="Times New Roman" w:hAnsi="Cambria"/>
    </w:rPr>
  </w:style>
  <w:style w:type="character" w:customStyle="1" w:styleId="SubtitleChar">
    <w:name w:val="Subtitle Char"/>
    <w:link w:val="Subtitle"/>
    <w:uiPriority w:val="11"/>
    <w:rsid w:val="00CB5CDE"/>
    <w:rPr>
      <w:rFonts w:ascii="Cambria" w:eastAsia="Times New Roman" w:hAnsi="Cambria"/>
      <w:sz w:val="24"/>
      <w:szCs w:val="24"/>
    </w:rPr>
  </w:style>
  <w:style w:type="character" w:styleId="Strong">
    <w:name w:val="Strong"/>
    <w:uiPriority w:val="22"/>
    <w:qFormat/>
    <w:rsid w:val="00CB5CDE"/>
    <w:rPr>
      <w:b/>
      <w:bCs/>
    </w:rPr>
  </w:style>
  <w:style w:type="character" w:styleId="Emphasis">
    <w:name w:val="Emphasis"/>
    <w:uiPriority w:val="20"/>
    <w:qFormat/>
    <w:rsid w:val="00CB5CDE"/>
    <w:rPr>
      <w:rFonts w:ascii="Calibri" w:hAnsi="Calibri"/>
      <w:b/>
      <w:i/>
      <w:iCs/>
    </w:rPr>
  </w:style>
  <w:style w:type="paragraph" w:customStyle="1" w:styleId="MediumGrid21">
    <w:name w:val="Medium Grid 21"/>
    <w:basedOn w:val="Normal"/>
    <w:link w:val="MediumGrid2Char"/>
    <w:uiPriority w:val="1"/>
    <w:qFormat/>
    <w:rsid w:val="00CB5CDE"/>
    <w:rPr>
      <w:szCs w:val="32"/>
    </w:rPr>
  </w:style>
  <w:style w:type="character" w:customStyle="1" w:styleId="MediumGrid2Char">
    <w:name w:val="Medium Grid 2 Char"/>
    <w:link w:val="MediumGrid21"/>
    <w:uiPriority w:val="1"/>
    <w:rsid w:val="00CB5CDE"/>
    <w:rPr>
      <w:sz w:val="24"/>
      <w:szCs w:val="32"/>
    </w:rPr>
  </w:style>
  <w:style w:type="paragraph" w:customStyle="1" w:styleId="ColorfulList-Accent11">
    <w:name w:val="Colorful List - Accent 11"/>
    <w:basedOn w:val="Normal"/>
    <w:uiPriority w:val="34"/>
    <w:qFormat/>
    <w:rsid w:val="00CB5CDE"/>
    <w:pPr>
      <w:ind w:left="720"/>
      <w:contextualSpacing/>
    </w:pPr>
  </w:style>
  <w:style w:type="paragraph" w:customStyle="1" w:styleId="ColorfulGrid-Accent11">
    <w:name w:val="Colorful Grid - Accent 11"/>
    <w:basedOn w:val="Normal"/>
    <w:next w:val="Normal"/>
    <w:link w:val="ColorfulGrid-Accent1Char"/>
    <w:uiPriority w:val="29"/>
    <w:qFormat/>
    <w:rsid w:val="00CB5CDE"/>
    <w:rPr>
      <w:i/>
    </w:rPr>
  </w:style>
  <w:style w:type="character" w:customStyle="1" w:styleId="ColorfulGrid-Accent1Char">
    <w:name w:val="Colorful Grid - Accent 1 Char"/>
    <w:link w:val="ColorfulGrid-Accent11"/>
    <w:uiPriority w:val="29"/>
    <w:rsid w:val="00CB5CDE"/>
    <w:rPr>
      <w:i/>
      <w:sz w:val="24"/>
      <w:szCs w:val="24"/>
    </w:rPr>
  </w:style>
  <w:style w:type="paragraph" w:customStyle="1" w:styleId="LightShading-Accent21">
    <w:name w:val="Light Shading - Accent 21"/>
    <w:basedOn w:val="Normal"/>
    <w:next w:val="Normal"/>
    <w:link w:val="LightShading-Accent2Char"/>
    <w:uiPriority w:val="30"/>
    <w:qFormat/>
    <w:rsid w:val="00CB5CDE"/>
    <w:pPr>
      <w:ind w:left="720" w:right="720"/>
    </w:pPr>
    <w:rPr>
      <w:b/>
      <w:i/>
      <w:szCs w:val="20"/>
    </w:rPr>
  </w:style>
  <w:style w:type="character" w:customStyle="1" w:styleId="LightShading-Accent2Char">
    <w:name w:val="Light Shading - Accent 2 Char"/>
    <w:link w:val="LightShading-Accent21"/>
    <w:uiPriority w:val="30"/>
    <w:rsid w:val="00CB5CDE"/>
    <w:rPr>
      <w:b/>
      <w:i/>
      <w:sz w:val="24"/>
    </w:rPr>
  </w:style>
  <w:style w:type="character" w:customStyle="1" w:styleId="SubtleEmphasis1">
    <w:name w:val="Subtle Emphasis1"/>
    <w:uiPriority w:val="19"/>
    <w:qFormat/>
    <w:rsid w:val="00CB5CDE"/>
    <w:rPr>
      <w:i/>
      <w:color w:val="5A5A5A"/>
    </w:rPr>
  </w:style>
  <w:style w:type="character" w:customStyle="1" w:styleId="IntenseEmphasis1">
    <w:name w:val="Intense Emphasis1"/>
    <w:uiPriority w:val="21"/>
    <w:qFormat/>
    <w:rsid w:val="00CB5CDE"/>
    <w:rPr>
      <w:b/>
      <w:i/>
      <w:sz w:val="24"/>
      <w:szCs w:val="24"/>
      <w:u w:val="single"/>
    </w:rPr>
  </w:style>
  <w:style w:type="character" w:customStyle="1" w:styleId="SubtleReference1">
    <w:name w:val="Subtle Reference1"/>
    <w:uiPriority w:val="31"/>
    <w:qFormat/>
    <w:rsid w:val="00CB5CDE"/>
    <w:rPr>
      <w:sz w:val="24"/>
      <w:szCs w:val="24"/>
      <w:u w:val="single"/>
    </w:rPr>
  </w:style>
  <w:style w:type="character" w:customStyle="1" w:styleId="IntenseReference1">
    <w:name w:val="Intense Reference1"/>
    <w:uiPriority w:val="32"/>
    <w:qFormat/>
    <w:rsid w:val="00CB5CDE"/>
    <w:rPr>
      <w:b/>
      <w:sz w:val="24"/>
      <w:u w:val="single"/>
    </w:rPr>
  </w:style>
  <w:style w:type="character" w:customStyle="1" w:styleId="BookTitle1">
    <w:name w:val="Book Title1"/>
    <w:uiPriority w:val="33"/>
    <w:qFormat/>
    <w:rsid w:val="00CB5CDE"/>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CB5CDE"/>
    <w:pPr>
      <w:outlineLvl w:val="9"/>
    </w:pPr>
  </w:style>
  <w:style w:type="paragraph" w:customStyle="1" w:styleId="Juhi">
    <w:name w:val="Juhi"/>
    <w:basedOn w:val="MediumGrid21"/>
    <w:next w:val="MediumGrid21"/>
    <w:link w:val="JuhiChar"/>
    <w:qFormat/>
    <w:rsid w:val="00CB5CDE"/>
    <w:rPr>
      <w:rFonts w:ascii="Times New Roman" w:hAnsi="Times New Roman"/>
      <w:sz w:val="20"/>
    </w:rPr>
  </w:style>
  <w:style w:type="character" w:customStyle="1" w:styleId="JuhiChar">
    <w:name w:val="Juhi Char"/>
    <w:link w:val="Juhi"/>
    <w:rsid w:val="00CB5CDE"/>
    <w:rPr>
      <w:rFonts w:ascii="Times New Roman" w:hAnsi="Times New Roman"/>
      <w:sz w:val="20"/>
      <w:szCs w:val="32"/>
    </w:rPr>
  </w:style>
  <w:style w:type="paragraph" w:styleId="Header">
    <w:name w:val="header"/>
    <w:basedOn w:val="Normal"/>
    <w:link w:val="HeaderChar"/>
    <w:uiPriority w:val="99"/>
    <w:unhideWhenUsed/>
    <w:rsid w:val="000F55D3"/>
    <w:pPr>
      <w:tabs>
        <w:tab w:val="center" w:pos="4680"/>
        <w:tab w:val="right" w:pos="9360"/>
      </w:tabs>
    </w:pPr>
  </w:style>
  <w:style w:type="character" w:customStyle="1" w:styleId="HeaderChar">
    <w:name w:val="Header Char"/>
    <w:link w:val="Header"/>
    <w:uiPriority w:val="99"/>
    <w:rsid w:val="000F55D3"/>
    <w:rPr>
      <w:sz w:val="24"/>
      <w:szCs w:val="24"/>
    </w:rPr>
  </w:style>
  <w:style w:type="paragraph" w:styleId="Footer">
    <w:name w:val="footer"/>
    <w:basedOn w:val="Normal"/>
    <w:link w:val="FooterChar"/>
    <w:uiPriority w:val="99"/>
    <w:unhideWhenUsed/>
    <w:rsid w:val="000F55D3"/>
    <w:pPr>
      <w:tabs>
        <w:tab w:val="center" w:pos="4680"/>
        <w:tab w:val="right" w:pos="9360"/>
      </w:tabs>
    </w:pPr>
  </w:style>
  <w:style w:type="character" w:customStyle="1" w:styleId="FooterChar">
    <w:name w:val="Footer Char"/>
    <w:link w:val="Footer"/>
    <w:uiPriority w:val="99"/>
    <w:rsid w:val="000F55D3"/>
    <w:rPr>
      <w:sz w:val="24"/>
      <w:szCs w:val="24"/>
    </w:rPr>
  </w:style>
  <w:style w:type="paragraph" w:styleId="BalloonText">
    <w:name w:val="Balloon Text"/>
    <w:basedOn w:val="Normal"/>
    <w:link w:val="BalloonTextChar"/>
    <w:uiPriority w:val="99"/>
    <w:semiHidden/>
    <w:unhideWhenUsed/>
    <w:rsid w:val="000F55D3"/>
    <w:rPr>
      <w:rFonts w:ascii="Tahoma" w:hAnsi="Tahoma"/>
      <w:sz w:val="16"/>
      <w:szCs w:val="16"/>
    </w:rPr>
  </w:style>
  <w:style w:type="character" w:customStyle="1" w:styleId="BalloonTextChar">
    <w:name w:val="Balloon Text Char"/>
    <w:link w:val="BalloonText"/>
    <w:uiPriority w:val="99"/>
    <w:semiHidden/>
    <w:rsid w:val="000F55D3"/>
    <w:rPr>
      <w:rFonts w:ascii="Tahoma" w:hAnsi="Tahoma" w:cs="Tahoma"/>
      <w:sz w:val="16"/>
      <w:szCs w:val="16"/>
    </w:rPr>
  </w:style>
  <w:style w:type="paragraph" w:customStyle="1" w:styleId="address">
    <w:name w:val="address"/>
    <w:basedOn w:val="Normal"/>
    <w:link w:val="addressChar"/>
    <w:qFormat/>
    <w:rsid w:val="00E22E3E"/>
    <w:pPr>
      <w:jc w:val="right"/>
    </w:pPr>
    <w:rPr>
      <w:rFonts w:ascii="Arial" w:eastAsia="Times New Roman" w:hAnsi="Arial"/>
      <w:color w:val="585747"/>
      <w:sz w:val="20"/>
    </w:rPr>
  </w:style>
  <w:style w:type="character" w:customStyle="1" w:styleId="addressChar">
    <w:name w:val="address Char"/>
    <w:link w:val="address"/>
    <w:rsid w:val="00E22E3E"/>
    <w:rPr>
      <w:rFonts w:ascii="Arial" w:eastAsia="Times New Roman" w:hAnsi="Arial" w:cs="Arial"/>
      <w:color w:val="585747"/>
      <w:szCs w:val="24"/>
    </w:rPr>
  </w:style>
  <w:style w:type="character" w:styleId="Hyperlink">
    <w:name w:val="Hyperlink"/>
    <w:uiPriority w:val="99"/>
    <w:unhideWhenUsed/>
    <w:rsid w:val="0024699A"/>
    <w:rPr>
      <w:color w:val="0000FF"/>
      <w:u w:val="single"/>
    </w:rPr>
  </w:style>
  <w:style w:type="paragraph" w:styleId="FootnoteText">
    <w:name w:val="footnote text"/>
    <w:basedOn w:val="Normal"/>
    <w:link w:val="FootnoteTextChar"/>
    <w:semiHidden/>
    <w:rsid w:val="00363A57"/>
    <w:rPr>
      <w:rFonts w:ascii="Times New Roman" w:eastAsia="Times New Roman" w:hAnsi="Times New Roman"/>
      <w:sz w:val="20"/>
    </w:rPr>
  </w:style>
  <w:style w:type="character" w:customStyle="1" w:styleId="FootnoteTextChar">
    <w:name w:val="Footnote Text Char"/>
    <w:link w:val="FootnoteText"/>
    <w:semiHidden/>
    <w:rsid w:val="00363A57"/>
    <w:rPr>
      <w:rFonts w:ascii="Times New Roman" w:eastAsia="Times New Roman" w:hAnsi="Times New Roman"/>
      <w:szCs w:val="24"/>
    </w:rPr>
  </w:style>
  <w:style w:type="paragraph" w:customStyle="1" w:styleId="ColorfulList-Accent12">
    <w:name w:val="Colorful List - Accent 12"/>
    <w:basedOn w:val="Normal"/>
    <w:uiPriority w:val="34"/>
    <w:qFormat/>
    <w:rsid w:val="00363A57"/>
    <w:pPr>
      <w:ind w:left="720"/>
      <w:contextualSpacing/>
    </w:pPr>
    <w:rPr>
      <w:rFonts w:ascii="Times New Roman" w:eastAsia="Times New Roman" w:hAnsi="Times New Roman"/>
    </w:rPr>
  </w:style>
  <w:style w:type="table" w:styleId="TableGrid">
    <w:name w:val="Table Grid"/>
    <w:basedOn w:val="TableNormal"/>
    <w:uiPriority w:val="59"/>
    <w:rsid w:val="00E57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F460F"/>
    <w:rPr>
      <w:color w:val="800080"/>
      <w:u w:val="single"/>
    </w:rPr>
  </w:style>
  <w:style w:type="character" w:styleId="CommentReference">
    <w:name w:val="annotation reference"/>
    <w:uiPriority w:val="99"/>
    <w:semiHidden/>
    <w:unhideWhenUsed/>
    <w:rsid w:val="0022026D"/>
    <w:rPr>
      <w:sz w:val="16"/>
      <w:szCs w:val="16"/>
    </w:rPr>
  </w:style>
  <w:style w:type="paragraph" w:styleId="CommentText">
    <w:name w:val="annotation text"/>
    <w:basedOn w:val="Normal"/>
    <w:link w:val="CommentTextChar"/>
    <w:uiPriority w:val="99"/>
    <w:semiHidden/>
    <w:unhideWhenUsed/>
    <w:rsid w:val="0022026D"/>
    <w:rPr>
      <w:sz w:val="20"/>
      <w:szCs w:val="20"/>
    </w:rPr>
  </w:style>
  <w:style w:type="character" w:customStyle="1" w:styleId="CommentTextChar">
    <w:name w:val="Comment Text Char"/>
    <w:basedOn w:val="DefaultParagraphFont"/>
    <w:link w:val="CommentText"/>
    <w:uiPriority w:val="99"/>
    <w:semiHidden/>
    <w:rsid w:val="0022026D"/>
  </w:style>
  <w:style w:type="paragraph" w:styleId="CommentSubject">
    <w:name w:val="annotation subject"/>
    <w:basedOn w:val="CommentText"/>
    <w:next w:val="CommentText"/>
    <w:link w:val="CommentSubjectChar"/>
    <w:uiPriority w:val="99"/>
    <w:semiHidden/>
    <w:unhideWhenUsed/>
    <w:rsid w:val="0022026D"/>
    <w:rPr>
      <w:b/>
      <w:bCs/>
    </w:rPr>
  </w:style>
  <w:style w:type="character" w:customStyle="1" w:styleId="CommentSubjectChar">
    <w:name w:val="Comment Subject Char"/>
    <w:link w:val="CommentSubject"/>
    <w:uiPriority w:val="99"/>
    <w:semiHidden/>
    <w:rsid w:val="0022026D"/>
    <w:rPr>
      <w:b/>
      <w:bCs/>
    </w:rPr>
  </w:style>
  <w:style w:type="paragraph" w:styleId="NormalWeb">
    <w:name w:val="Normal (Web)"/>
    <w:basedOn w:val="Normal"/>
    <w:uiPriority w:val="99"/>
    <w:semiHidden/>
    <w:unhideWhenUsed/>
    <w:rsid w:val="006401C7"/>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97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D8725-D3C6-43C2-AAF8-3B1CC3C3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10364</CharactersWithSpaces>
  <SharedDoc>false</SharedDoc>
  <HLinks>
    <vt:vector size="6" baseType="variant">
      <vt:variant>
        <vt:i4>7209010</vt:i4>
      </vt:variant>
      <vt:variant>
        <vt:i4>0</vt:i4>
      </vt:variant>
      <vt:variant>
        <vt:i4>0</vt:i4>
      </vt:variant>
      <vt:variant>
        <vt:i4>5</vt:i4>
      </vt:variant>
      <vt:variant>
        <vt:lpwstr>https://yourtickettowork.com/web/ttw/forms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Juhi Dubey</dc:creator>
  <cp:keywords/>
  <cp:lastModifiedBy>LaTasha Durrett/MAXIMUS</cp:lastModifiedBy>
  <cp:revision>2</cp:revision>
  <cp:lastPrinted>2014-01-24T14:31:00Z</cp:lastPrinted>
  <dcterms:created xsi:type="dcterms:W3CDTF">2017-02-07T21:42:00Z</dcterms:created>
  <dcterms:modified xsi:type="dcterms:W3CDTF">2017-02-07T21:42:00Z</dcterms:modified>
</cp:coreProperties>
</file>